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D02C5" w14:textId="77777777" w:rsidR="00E651AC" w:rsidRDefault="00E651AC" w:rsidP="00E651AC">
      <w:pPr>
        <w:pStyle w:val="Heading1"/>
        <w:jc w:val="center"/>
      </w:pPr>
    </w:p>
    <w:p w14:paraId="0D6FE748" w14:textId="77777777" w:rsidR="00E651AC" w:rsidRPr="00D62793" w:rsidRDefault="00E651AC" w:rsidP="00E651AC">
      <w:pPr>
        <w:pStyle w:val="Heading1"/>
        <w:jc w:val="center"/>
        <w:rPr>
          <w:color w:val="auto"/>
        </w:rPr>
      </w:pPr>
    </w:p>
    <w:p w14:paraId="190872FA" w14:textId="7DB9F295" w:rsidR="00E651AC" w:rsidRPr="00D62793" w:rsidRDefault="00291F9D" w:rsidP="00E651AC">
      <w:pPr>
        <w:pStyle w:val="Title"/>
        <w:rPr>
          <w:color w:val="auto"/>
          <w:sz w:val="72"/>
          <w:szCs w:val="48"/>
        </w:rPr>
      </w:pPr>
      <w:r w:rsidRPr="00D62793">
        <w:rPr>
          <w:color w:val="auto"/>
          <w:sz w:val="72"/>
          <w:szCs w:val="48"/>
        </w:rPr>
        <w:t>YOUR COMPANY NAME</w:t>
      </w:r>
    </w:p>
    <w:p w14:paraId="742F8EAC" w14:textId="77777777" w:rsidR="00E651AC" w:rsidRPr="00D62793" w:rsidRDefault="00E651AC" w:rsidP="00E651AC">
      <w:pPr>
        <w:pStyle w:val="Heading1"/>
        <w:jc w:val="center"/>
        <w:rPr>
          <w:color w:val="auto"/>
        </w:rPr>
      </w:pPr>
    </w:p>
    <w:p w14:paraId="5F8162FB" w14:textId="046288D5" w:rsidR="004F006A" w:rsidRPr="00D62793" w:rsidRDefault="00BE6415" w:rsidP="00E651AC">
      <w:pPr>
        <w:pStyle w:val="Title"/>
        <w:jc w:val="center"/>
        <w:rPr>
          <w:color w:val="auto"/>
          <w:sz w:val="44"/>
        </w:rPr>
      </w:pPr>
      <w:r w:rsidRPr="00D62793">
        <w:rPr>
          <w:color w:val="auto"/>
          <w:sz w:val="44"/>
        </w:rPr>
        <w:t>FY</w:t>
      </w:r>
      <w:r w:rsidR="00291F9D" w:rsidRPr="00D62793">
        <w:rPr>
          <w:color w:val="auto"/>
          <w:sz w:val="44"/>
        </w:rPr>
        <w:t>XX</w:t>
      </w:r>
      <w:r w:rsidR="00E651AC" w:rsidRPr="00D62793">
        <w:rPr>
          <w:color w:val="auto"/>
          <w:sz w:val="44"/>
        </w:rPr>
        <w:t xml:space="preserve"> </w:t>
      </w:r>
      <w:r w:rsidR="00441E63" w:rsidRPr="00D62793">
        <w:rPr>
          <w:color w:val="auto"/>
          <w:sz w:val="44"/>
        </w:rPr>
        <w:t xml:space="preserve">Sales </w:t>
      </w:r>
      <w:r w:rsidR="00E651AC" w:rsidRPr="00D62793">
        <w:rPr>
          <w:color w:val="auto"/>
          <w:sz w:val="44"/>
        </w:rPr>
        <w:t>Compensation Terms and Conditions</w:t>
      </w:r>
    </w:p>
    <w:p w14:paraId="01BF12D3" w14:textId="0C210EBE" w:rsidR="00E651AC" w:rsidRPr="00E651AC" w:rsidRDefault="00E651AC" w:rsidP="00E651AC">
      <w:pPr>
        <w:jc w:val="center"/>
        <w:rPr>
          <w:sz w:val="40"/>
        </w:rPr>
      </w:pPr>
      <w:r w:rsidRPr="00E651AC">
        <w:rPr>
          <w:sz w:val="40"/>
        </w:rPr>
        <w:t>January 1</w:t>
      </w:r>
      <w:r w:rsidR="00441E63">
        <w:rPr>
          <w:sz w:val="40"/>
        </w:rPr>
        <w:t>,</w:t>
      </w:r>
      <w:r w:rsidRPr="00E651AC">
        <w:rPr>
          <w:sz w:val="40"/>
        </w:rPr>
        <w:t xml:space="preserve"> </w:t>
      </w:r>
      <w:r w:rsidR="00BE6415">
        <w:rPr>
          <w:sz w:val="40"/>
        </w:rPr>
        <w:t>20</w:t>
      </w:r>
      <w:r w:rsidR="00291F9D">
        <w:rPr>
          <w:sz w:val="40"/>
        </w:rPr>
        <w:t>XX</w:t>
      </w:r>
    </w:p>
    <w:p w14:paraId="1A41E1C0" w14:textId="77777777" w:rsidR="00E651AC" w:rsidRDefault="00E651AC" w:rsidP="00E651AC">
      <w:pPr>
        <w:jc w:val="center"/>
        <w:rPr>
          <w:sz w:val="40"/>
        </w:rPr>
      </w:pPr>
      <w:r w:rsidRPr="00E651AC">
        <w:rPr>
          <w:sz w:val="40"/>
        </w:rPr>
        <w:t>Version 1.0.0</w:t>
      </w:r>
    </w:p>
    <w:p w14:paraId="1447A7FE" w14:textId="77777777" w:rsidR="00441E63" w:rsidRDefault="00441E63" w:rsidP="00E651AC">
      <w:pPr>
        <w:jc w:val="center"/>
        <w:rPr>
          <w:sz w:val="40"/>
        </w:rPr>
      </w:pPr>
    </w:p>
    <w:p w14:paraId="06330D45" w14:textId="2F5232C8" w:rsidR="00441E63" w:rsidRDefault="00441E63" w:rsidP="00441E63">
      <w:pPr>
        <w:jc w:val="both"/>
        <w:rPr>
          <w:rFonts w:ascii="Calibri" w:hAnsi="Calibri"/>
        </w:rPr>
      </w:pPr>
      <w:r w:rsidRPr="00067464">
        <w:rPr>
          <w:rFonts w:ascii="Calibri" w:hAnsi="Calibri"/>
        </w:rPr>
        <w:t xml:space="preserve">This document </w:t>
      </w:r>
      <w:r>
        <w:rPr>
          <w:rFonts w:ascii="Calibri" w:hAnsi="Calibri"/>
        </w:rPr>
        <w:t xml:space="preserve">is part of the </w:t>
      </w:r>
      <w:r w:rsidR="00291F9D">
        <w:rPr>
          <w:rFonts w:ascii="Calibri" w:hAnsi="Calibri"/>
        </w:rPr>
        <w:t>20XX</w:t>
      </w:r>
      <w:r>
        <w:rPr>
          <w:rFonts w:ascii="Calibri" w:hAnsi="Calibri"/>
        </w:rPr>
        <w:t xml:space="preserve"> Sales Compensation Plan (“Plan”) which consists of </w:t>
      </w:r>
      <w:r w:rsidRPr="00067464">
        <w:rPr>
          <w:rFonts w:ascii="Calibri" w:hAnsi="Calibri"/>
        </w:rPr>
        <w:t>(1) th</w:t>
      </w:r>
      <w:r>
        <w:rPr>
          <w:rFonts w:ascii="Calibri" w:hAnsi="Calibri"/>
        </w:rPr>
        <w:t xml:space="preserve">e Participant’s </w:t>
      </w:r>
      <w:r w:rsidRPr="00067464">
        <w:rPr>
          <w:rFonts w:ascii="Calibri" w:hAnsi="Calibri"/>
        </w:rPr>
        <w:t>Individualized Compensation Plan</w:t>
      </w:r>
      <w:r>
        <w:rPr>
          <w:rFonts w:ascii="Calibri" w:hAnsi="Calibri"/>
        </w:rPr>
        <w:t xml:space="preserve">) </w:t>
      </w:r>
      <w:r w:rsidRPr="00067464">
        <w:rPr>
          <w:rFonts w:ascii="Calibri" w:hAnsi="Calibri"/>
        </w:rPr>
        <w:t xml:space="preserve">including </w:t>
      </w:r>
      <w:r>
        <w:rPr>
          <w:rFonts w:ascii="Calibri" w:hAnsi="Calibri"/>
        </w:rPr>
        <w:t xml:space="preserve">Exhibit A and </w:t>
      </w:r>
      <w:r w:rsidRPr="00067464">
        <w:rPr>
          <w:rFonts w:ascii="Calibri" w:hAnsi="Calibri"/>
        </w:rPr>
        <w:t>(</w:t>
      </w:r>
      <w:r>
        <w:rPr>
          <w:rFonts w:ascii="Calibri" w:hAnsi="Calibri"/>
        </w:rPr>
        <w:t>2</w:t>
      </w:r>
      <w:r w:rsidRPr="00067464">
        <w:rPr>
          <w:rFonts w:ascii="Calibri" w:hAnsi="Calibri"/>
        </w:rPr>
        <w:t xml:space="preserve">) </w:t>
      </w:r>
      <w:r>
        <w:rPr>
          <w:rFonts w:ascii="Calibri" w:hAnsi="Calibri"/>
        </w:rPr>
        <w:t xml:space="preserve">this document, </w:t>
      </w:r>
      <w:r w:rsidRPr="00067464">
        <w:rPr>
          <w:rFonts w:ascii="Calibri" w:hAnsi="Calibri"/>
        </w:rPr>
        <w:t xml:space="preserve">the </w:t>
      </w:r>
      <w:r w:rsidR="00BE6415">
        <w:rPr>
          <w:rFonts w:ascii="Calibri" w:hAnsi="Calibri"/>
        </w:rPr>
        <w:t>FY</w:t>
      </w:r>
      <w:r w:rsidR="00291F9D">
        <w:rPr>
          <w:rFonts w:ascii="Calibri" w:hAnsi="Calibri"/>
        </w:rPr>
        <w:t>XX</w:t>
      </w:r>
      <w:r>
        <w:rPr>
          <w:rFonts w:ascii="Calibri" w:hAnsi="Calibri"/>
        </w:rPr>
        <w:t xml:space="preserve"> </w:t>
      </w:r>
      <w:r w:rsidRPr="00067464">
        <w:rPr>
          <w:rFonts w:ascii="Calibri" w:hAnsi="Calibri"/>
        </w:rPr>
        <w:t>Sales Compensation Terms and Conditions</w:t>
      </w:r>
      <w:r>
        <w:rPr>
          <w:rFonts w:ascii="Calibri" w:hAnsi="Calibri"/>
        </w:rPr>
        <w:t xml:space="preserve"> (“T&amp;Cs”)</w:t>
      </w:r>
    </w:p>
    <w:p w14:paraId="70EE6F5C" w14:textId="77777777" w:rsidR="00441E63" w:rsidRPr="00E651AC" w:rsidRDefault="00441E63" w:rsidP="00E651AC">
      <w:pPr>
        <w:jc w:val="center"/>
        <w:rPr>
          <w:sz w:val="40"/>
        </w:rPr>
      </w:pPr>
    </w:p>
    <w:p w14:paraId="6C7E45F6" w14:textId="03D55F75" w:rsidR="003C7757" w:rsidRDefault="003C7757" w:rsidP="00441E63">
      <w:pPr>
        <w:tabs>
          <w:tab w:val="center" w:pos="4680"/>
        </w:tabs>
        <w:rPr>
          <w:rFonts w:asciiTheme="majorHAnsi" w:eastAsiaTheme="majorEastAsia" w:hAnsiTheme="majorHAnsi" w:cstheme="majorBidi"/>
          <w:color w:val="365F91" w:themeColor="accent1" w:themeShade="BF"/>
          <w:szCs w:val="28"/>
        </w:rPr>
      </w:pPr>
      <w:r>
        <w:rPr>
          <w:rFonts w:asciiTheme="majorHAnsi" w:eastAsiaTheme="majorEastAsia" w:hAnsiTheme="majorHAnsi" w:cstheme="majorBidi"/>
          <w:color w:val="365F91" w:themeColor="accent1" w:themeShade="BF"/>
          <w:szCs w:val="28"/>
        </w:rPr>
        <w:br w:type="page"/>
      </w:r>
      <w:r w:rsidR="00441E63">
        <w:rPr>
          <w:rFonts w:asciiTheme="majorHAnsi" w:eastAsiaTheme="majorEastAsia" w:hAnsiTheme="majorHAnsi" w:cstheme="majorBidi"/>
          <w:color w:val="365F91" w:themeColor="accent1" w:themeShade="BF"/>
          <w:szCs w:val="28"/>
        </w:rPr>
        <w:lastRenderedPageBreak/>
        <w:tab/>
      </w:r>
    </w:p>
    <w:bookmarkStart w:id="0" w:name="_Toc254258772" w:displacedByCustomXml="next"/>
    <w:bookmarkStart w:id="1" w:name="_Toc254258351" w:displacedByCustomXml="next"/>
    <w:bookmarkStart w:id="2" w:name="_Toc254258159" w:displacedByCustomXml="next"/>
    <w:sdt>
      <w:sdtPr>
        <w:rPr>
          <w:rFonts w:asciiTheme="minorHAnsi" w:eastAsiaTheme="minorHAnsi" w:hAnsiTheme="minorHAnsi" w:cstheme="minorBidi"/>
          <w:b w:val="0"/>
          <w:bCs w:val="0"/>
          <w:color w:val="auto"/>
          <w:sz w:val="22"/>
          <w:szCs w:val="22"/>
        </w:rPr>
        <w:id w:val="465472805"/>
        <w:docPartObj>
          <w:docPartGallery w:val="Table of Contents"/>
          <w:docPartUnique/>
        </w:docPartObj>
      </w:sdtPr>
      <w:sdtEndPr>
        <w:rPr>
          <w:noProof/>
        </w:rPr>
      </w:sdtEndPr>
      <w:sdtContent>
        <w:p w14:paraId="6241DFBC" w14:textId="7EF81233" w:rsidR="00720BAD" w:rsidRDefault="00720BAD">
          <w:pPr>
            <w:pStyle w:val="TOCHeading"/>
          </w:pPr>
          <w:r>
            <w:t>Contents</w:t>
          </w:r>
        </w:p>
        <w:p w14:paraId="65314AA7" w14:textId="13DD2292" w:rsidR="00A83364" w:rsidRDefault="00720BAD">
          <w:pPr>
            <w:pStyle w:val="TOC1"/>
            <w:tabs>
              <w:tab w:val="right" w:leader="dot" w:pos="9260"/>
            </w:tabs>
            <w:rPr>
              <w:rFonts w:asciiTheme="minorHAnsi" w:eastAsiaTheme="minorEastAsia" w:hAnsiTheme="minorHAnsi"/>
              <w:b w:val="0"/>
              <w:bCs w:val="0"/>
              <w:caps w:val="0"/>
              <w:noProof/>
              <w:sz w:val="22"/>
              <w:szCs w:val="22"/>
            </w:rPr>
          </w:pPr>
          <w:r>
            <w:fldChar w:fldCharType="begin"/>
          </w:r>
          <w:r>
            <w:instrText xml:space="preserve"> TOC \o "1-3" \h \z \u </w:instrText>
          </w:r>
          <w:r>
            <w:fldChar w:fldCharType="separate"/>
          </w:r>
          <w:hyperlink w:anchor="_Toc472922359" w:history="1">
            <w:r w:rsidR="00A83364" w:rsidRPr="004E5FD2">
              <w:rPr>
                <w:rStyle w:val="Hyperlink"/>
                <w:noProof/>
              </w:rPr>
              <w:t>Definitions</w:t>
            </w:r>
            <w:r w:rsidR="00A83364">
              <w:rPr>
                <w:noProof/>
                <w:webHidden/>
              </w:rPr>
              <w:tab/>
            </w:r>
            <w:r w:rsidR="00A83364">
              <w:rPr>
                <w:noProof/>
                <w:webHidden/>
              </w:rPr>
              <w:fldChar w:fldCharType="begin"/>
            </w:r>
            <w:r w:rsidR="00A83364">
              <w:rPr>
                <w:noProof/>
                <w:webHidden/>
              </w:rPr>
              <w:instrText xml:space="preserve"> PAGEREF _Toc472922359 \h </w:instrText>
            </w:r>
            <w:r w:rsidR="00A83364">
              <w:rPr>
                <w:noProof/>
                <w:webHidden/>
              </w:rPr>
            </w:r>
            <w:r w:rsidR="00A83364">
              <w:rPr>
                <w:noProof/>
                <w:webHidden/>
              </w:rPr>
              <w:fldChar w:fldCharType="separate"/>
            </w:r>
            <w:r w:rsidR="00A83364">
              <w:rPr>
                <w:noProof/>
                <w:webHidden/>
              </w:rPr>
              <w:t>3</w:t>
            </w:r>
            <w:r w:rsidR="00A83364">
              <w:rPr>
                <w:noProof/>
                <w:webHidden/>
              </w:rPr>
              <w:fldChar w:fldCharType="end"/>
            </w:r>
          </w:hyperlink>
        </w:p>
        <w:p w14:paraId="2F09E0B4" w14:textId="52846207" w:rsidR="00A83364" w:rsidRDefault="005B1043">
          <w:pPr>
            <w:pStyle w:val="TOC1"/>
            <w:tabs>
              <w:tab w:val="right" w:leader="dot" w:pos="9260"/>
            </w:tabs>
            <w:rPr>
              <w:rFonts w:asciiTheme="minorHAnsi" w:eastAsiaTheme="minorEastAsia" w:hAnsiTheme="minorHAnsi"/>
              <w:b w:val="0"/>
              <w:bCs w:val="0"/>
              <w:caps w:val="0"/>
              <w:noProof/>
              <w:sz w:val="22"/>
              <w:szCs w:val="22"/>
            </w:rPr>
          </w:pPr>
          <w:hyperlink w:anchor="_Toc472922360" w:history="1">
            <w:r w:rsidR="00A83364" w:rsidRPr="004E5FD2">
              <w:rPr>
                <w:rStyle w:val="Hyperlink"/>
                <w:noProof/>
              </w:rPr>
              <w:t>General</w:t>
            </w:r>
            <w:r w:rsidR="00A83364">
              <w:rPr>
                <w:noProof/>
                <w:webHidden/>
              </w:rPr>
              <w:tab/>
            </w:r>
            <w:r w:rsidR="00A83364">
              <w:rPr>
                <w:noProof/>
                <w:webHidden/>
              </w:rPr>
              <w:fldChar w:fldCharType="begin"/>
            </w:r>
            <w:r w:rsidR="00A83364">
              <w:rPr>
                <w:noProof/>
                <w:webHidden/>
              </w:rPr>
              <w:instrText xml:space="preserve"> PAGEREF _Toc472922360 \h </w:instrText>
            </w:r>
            <w:r w:rsidR="00A83364">
              <w:rPr>
                <w:noProof/>
                <w:webHidden/>
              </w:rPr>
            </w:r>
            <w:r w:rsidR="00A83364">
              <w:rPr>
                <w:noProof/>
                <w:webHidden/>
              </w:rPr>
              <w:fldChar w:fldCharType="separate"/>
            </w:r>
            <w:r w:rsidR="00A83364">
              <w:rPr>
                <w:noProof/>
                <w:webHidden/>
              </w:rPr>
              <w:t>6</w:t>
            </w:r>
            <w:r w:rsidR="00A83364">
              <w:rPr>
                <w:noProof/>
                <w:webHidden/>
              </w:rPr>
              <w:fldChar w:fldCharType="end"/>
            </w:r>
          </w:hyperlink>
        </w:p>
        <w:p w14:paraId="28FE32C8" w14:textId="3C659CAA" w:rsidR="00A83364" w:rsidRDefault="005B1043">
          <w:pPr>
            <w:pStyle w:val="TOC1"/>
            <w:tabs>
              <w:tab w:val="right" w:leader="dot" w:pos="9260"/>
            </w:tabs>
            <w:rPr>
              <w:rFonts w:asciiTheme="minorHAnsi" w:eastAsiaTheme="minorEastAsia" w:hAnsiTheme="minorHAnsi"/>
              <w:b w:val="0"/>
              <w:bCs w:val="0"/>
              <w:caps w:val="0"/>
              <w:noProof/>
              <w:sz w:val="22"/>
              <w:szCs w:val="22"/>
            </w:rPr>
          </w:pPr>
          <w:hyperlink w:anchor="_Toc472922361" w:history="1">
            <w:r w:rsidR="00A83364" w:rsidRPr="004E5FD2">
              <w:rPr>
                <w:rStyle w:val="Hyperlink"/>
                <w:noProof/>
              </w:rPr>
              <w:t>Administration and Approvals</w:t>
            </w:r>
            <w:r w:rsidR="00A83364">
              <w:rPr>
                <w:noProof/>
                <w:webHidden/>
              </w:rPr>
              <w:tab/>
            </w:r>
            <w:r w:rsidR="00A83364">
              <w:rPr>
                <w:noProof/>
                <w:webHidden/>
              </w:rPr>
              <w:fldChar w:fldCharType="begin"/>
            </w:r>
            <w:r w:rsidR="00A83364">
              <w:rPr>
                <w:noProof/>
                <w:webHidden/>
              </w:rPr>
              <w:instrText xml:space="preserve"> PAGEREF _Toc472922361 \h </w:instrText>
            </w:r>
            <w:r w:rsidR="00A83364">
              <w:rPr>
                <w:noProof/>
                <w:webHidden/>
              </w:rPr>
            </w:r>
            <w:r w:rsidR="00A83364">
              <w:rPr>
                <w:noProof/>
                <w:webHidden/>
              </w:rPr>
              <w:fldChar w:fldCharType="separate"/>
            </w:r>
            <w:r w:rsidR="00A83364">
              <w:rPr>
                <w:noProof/>
                <w:webHidden/>
              </w:rPr>
              <w:t>6</w:t>
            </w:r>
            <w:r w:rsidR="00A83364">
              <w:rPr>
                <w:noProof/>
                <w:webHidden/>
              </w:rPr>
              <w:fldChar w:fldCharType="end"/>
            </w:r>
          </w:hyperlink>
        </w:p>
        <w:p w14:paraId="3AEEF0E2" w14:textId="32798066" w:rsidR="00A83364" w:rsidRDefault="005B1043">
          <w:pPr>
            <w:pStyle w:val="TOC1"/>
            <w:tabs>
              <w:tab w:val="right" w:leader="dot" w:pos="9260"/>
            </w:tabs>
            <w:rPr>
              <w:rFonts w:asciiTheme="minorHAnsi" w:eastAsiaTheme="minorEastAsia" w:hAnsiTheme="minorHAnsi"/>
              <w:b w:val="0"/>
              <w:bCs w:val="0"/>
              <w:caps w:val="0"/>
              <w:noProof/>
              <w:sz w:val="22"/>
              <w:szCs w:val="22"/>
            </w:rPr>
          </w:pPr>
          <w:hyperlink w:anchor="_Toc472922362" w:history="1">
            <w:r w:rsidR="00A83364" w:rsidRPr="004E5FD2">
              <w:rPr>
                <w:rStyle w:val="Hyperlink"/>
                <w:noProof/>
              </w:rPr>
              <w:t>Commissions, Sales Credits and Bonuses</w:t>
            </w:r>
            <w:r w:rsidR="00A83364">
              <w:rPr>
                <w:noProof/>
                <w:webHidden/>
              </w:rPr>
              <w:tab/>
            </w:r>
            <w:r w:rsidR="00A83364">
              <w:rPr>
                <w:noProof/>
                <w:webHidden/>
              </w:rPr>
              <w:fldChar w:fldCharType="begin"/>
            </w:r>
            <w:r w:rsidR="00A83364">
              <w:rPr>
                <w:noProof/>
                <w:webHidden/>
              </w:rPr>
              <w:instrText xml:space="preserve"> PAGEREF _Toc472922362 \h </w:instrText>
            </w:r>
            <w:r w:rsidR="00A83364">
              <w:rPr>
                <w:noProof/>
                <w:webHidden/>
              </w:rPr>
            </w:r>
            <w:r w:rsidR="00A83364">
              <w:rPr>
                <w:noProof/>
                <w:webHidden/>
              </w:rPr>
              <w:fldChar w:fldCharType="separate"/>
            </w:r>
            <w:r w:rsidR="00A83364">
              <w:rPr>
                <w:noProof/>
                <w:webHidden/>
              </w:rPr>
              <w:t>8</w:t>
            </w:r>
            <w:r w:rsidR="00A83364">
              <w:rPr>
                <w:noProof/>
                <w:webHidden/>
              </w:rPr>
              <w:fldChar w:fldCharType="end"/>
            </w:r>
          </w:hyperlink>
        </w:p>
        <w:p w14:paraId="7B9BD9DA" w14:textId="0A1FE6B7" w:rsidR="00A83364" w:rsidRDefault="005B1043">
          <w:pPr>
            <w:pStyle w:val="TOC1"/>
            <w:tabs>
              <w:tab w:val="right" w:leader="dot" w:pos="9260"/>
            </w:tabs>
            <w:rPr>
              <w:rFonts w:asciiTheme="minorHAnsi" w:eastAsiaTheme="minorEastAsia" w:hAnsiTheme="minorHAnsi"/>
              <w:b w:val="0"/>
              <w:bCs w:val="0"/>
              <w:caps w:val="0"/>
              <w:noProof/>
              <w:sz w:val="22"/>
              <w:szCs w:val="22"/>
            </w:rPr>
          </w:pPr>
          <w:hyperlink w:anchor="_Toc472922363" w:history="1">
            <w:r w:rsidR="00A83364" w:rsidRPr="004E5FD2">
              <w:rPr>
                <w:rStyle w:val="Hyperlink"/>
                <w:noProof/>
              </w:rPr>
              <w:t>On-Plan Dates, Effective Dates, Sales Threshold</w:t>
            </w:r>
            <w:r w:rsidR="00A83364">
              <w:rPr>
                <w:noProof/>
                <w:webHidden/>
              </w:rPr>
              <w:tab/>
            </w:r>
            <w:r w:rsidR="00A83364">
              <w:rPr>
                <w:noProof/>
                <w:webHidden/>
              </w:rPr>
              <w:fldChar w:fldCharType="begin"/>
            </w:r>
            <w:r w:rsidR="00A83364">
              <w:rPr>
                <w:noProof/>
                <w:webHidden/>
              </w:rPr>
              <w:instrText xml:space="preserve"> PAGEREF _Toc472922363 \h </w:instrText>
            </w:r>
            <w:r w:rsidR="00A83364">
              <w:rPr>
                <w:noProof/>
                <w:webHidden/>
              </w:rPr>
            </w:r>
            <w:r w:rsidR="00A83364">
              <w:rPr>
                <w:noProof/>
                <w:webHidden/>
              </w:rPr>
              <w:fldChar w:fldCharType="separate"/>
            </w:r>
            <w:r w:rsidR="00A83364">
              <w:rPr>
                <w:noProof/>
                <w:webHidden/>
              </w:rPr>
              <w:t>10</w:t>
            </w:r>
            <w:r w:rsidR="00A83364">
              <w:rPr>
                <w:noProof/>
                <w:webHidden/>
              </w:rPr>
              <w:fldChar w:fldCharType="end"/>
            </w:r>
          </w:hyperlink>
        </w:p>
        <w:p w14:paraId="2501728A" w14:textId="575A744F" w:rsidR="00A83364" w:rsidRDefault="005B1043">
          <w:pPr>
            <w:pStyle w:val="TOC1"/>
            <w:tabs>
              <w:tab w:val="right" w:leader="dot" w:pos="9260"/>
            </w:tabs>
            <w:rPr>
              <w:rFonts w:asciiTheme="minorHAnsi" w:eastAsiaTheme="minorEastAsia" w:hAnsiTheme="minorHAnsi"/>
              <w:b w:val="0"/>
              <w:bCs w:val="0"/>
              <w:caps w:val="0"/>
              <w:noProof/>
              <w:sz w:val="22"/>
              <w:szCs w:val="22"/>
            </w:rPr>
          </w:pPr>
          <w:hyperlink w:anchor="_Toc472922364" w:history="1">
            <w:r w:rsidR="00A83364" w:rsidRPr="004E5FD2">
              <w:rPr>
                <w:rStyle w:val="Hyperlink"/>
                <w:noProof/>
              </w:rPr>
              <w:t>Termination</w:t>
            </w:r>
            <w:r w:rsidR="00A83364">
              <w:rPr>
                <w:noProof/>
                <w:webHidden/>
              </w:rPr>
              <w:tab/>
            </w:r>
            <w:r w:rsidR="00A83364">
              <w:rPr>
                <w:noProof/>
                <w:webHidden/>
              </w:rPr>
              <w:fldChar w:fldCharType="begin"/>
            </w:r>
            <w:r w:rsidR="00A83364">
              <w:rPr>
                <w:noProof/>
                <w:webHidden/>
              </w:rPr>
              <w:instrText xml:space="preserve"> PAGEREF _Toc472922364 \h </w:instrText>
            </w:r>
            <w:r w:rsidR="00A83364">
              <w:rPr>
                <w:noProof/>
                <w:webHidden/>
              </w:rPr>
            </w:r>
            <w:r w:rsidR="00A83364">
              <w:rPr>
                <w:noProof/>
                <w:webHidden/>
              </w:rPr>
              <w:fldChar w:fldCharType="separate"/>
            </w:r>
            <w:r w:rsidR="00A83364">
              <w:rPr>
                <w:noProof/>
                <w:webHidden/>
              </w:rPr>
              <w:t>10</w:t>
            </w:r>
            <w:r w:rsidR="00A83364">
              <w:rPr>
                <w:noProof/>
                <w:webHidden/>
              </w:rPr>
              <w:fldChar w:fldCharType="end"/>
            </w:r>
          </w:hyperlink>
        </w:p>
        <w:p w14:paraId="4393D2CD" w14:textId="192224C4" w:rsidR="00A83364" w:rsidRDefault="005B1043">
          <w:pPr>
            <w:pStyle w:val="TOC1"/>
            <w:tabs>
              <w:tab w:val="right" w:leader="dot" w:pos="9260"/>
            </w:tabs>
            <w:rPr>
              <w:rFonts w:asciiTheme="minorHAnsi" w:eastAsiaTheme="minorEastAsia" w:hAnsiTheme="minorHAnsi"/>
              <w:b w:val="0"/>
              <w:bCs w:val="0"/>
              <w:caps w:val="0"/>
              <w:noProof/>
              <w:sz w:val="22"/>
              <w:szCs w:val="22"/>
            </w:rPr>
          </w:pPr>
          <w:hyperlink w:anchor="_Toc472922365" w:history="1">
            <w:r w:rsidR="00A83364" w:rsidRPr="004E5FD2">
              <w:rPr>
                <w:rStyle w:val="Hyperlink"/>
                <w:noProof/>
              </w:rPr>
              <w:t>Appendix 1: Sales Credits &amp; Bonuses – Annuity Sales</w:t>
            </w:r>
            <w:r w:rsidR="00A83364">
              <w:rPr>
                <w:noProof/>
                <w:webHidden/>
              </w:rPr>
              <w:tab/>
            </w:r>
            <w:r w:rsidR="00A83364">
              <w:rPr>
                <w:noProof/>
                <w:webHidden/>
              </w:rPr>
              <w:fldChar w:fldCharType="begin"/>
            </w:r>
            <w:r w:rsidR="00A83364">
              <w:rPr>
                <w:noProof/>
                <w:webHidden/>
              </w:rPr>
              <w:instrText xml:space="preserve"> PAGEREF _Toc472922365 \h </w:instrText>
            </w:r>
            <w:r w:rsidR="00A83364">
              <w:rPr>
                <w:noProof/>
                <w:webHidden/>
              </w:rPr>
            </w:r>
            <w:r w:rsidR="00A83364">
              <w:rPr>
                <w:noProof/>
                <w:webHidden/>
              </w:rPr>
              <w:fldChar w:fldCharType="separate"/>
            </w:r>
            <w:r w:rsidR="00A83364">
              <w:rPr>
                <w:noProof/>
                <w:webHidden/>
              </w:rPr>
              <w:t>11</w:t>
            </w:r>
            <w:r w:rsidR="00A83364">
              <w:rPr>
                <w:noProof/>
                <w:webHidden/>
              </w:rPr>
              <w:fldChar w:fldCharType="end"/>
            </w:r>
          </w:hyperlink>
        </w:p>
        <w:p w14:paraId="190AE4EE" w14:textId="796E5FA1" w:rsidR="00A83364" w:rsidRDefault="005B1043">
          <w:pPr>
            <w:pStyle w:val="TOC2"/>
            <w:tabs>
              <w:tab w:val="right" w:leader="dot" w:pos="9260"/>
            </w:tabs>
            <w:rPr>
              <w:rFonts w:eastAsiaTheme="minorEastAsia"/>
              <w:b w:val="0"/>
              <w:bCs w:val="0"/>
              <w:noProof/>
              <w:sz w:val="22"/>
              <w:szCs w:val="22"/>
            </w:rPr>
          </w:pPr>
          <w:hyperlink w:anchor="_Toc472922366" w:history="1">
            <w:r w:rsidR="00A83364" w:rsidRPr="004E5FD2">
              <w:rPr>
                <w:rStyle w:val="Hyperlink"/>
                <w:noProof/>
              </w:rPr>
              <w:t>Sales Credits/Bonuses</w:t>
            </w:r>
            <w:r w:rsidR="00A83364">
              <w:rPr>
                <w:noProof/>
                <w:webHidden/>
              </w:rPr>
              <w:tab/>
            </w:r>
            <w:r w:rsidR="00A83364">
              <w:rPr>
                <w:noProof/>
                <w:webHidden/>
              </w:rPr>
              <w:fldChar w:fldCharType="begin"/>
            </w:r>
            <w:r w:rsidR="00A83364">
              <w:rPr>
                <w:noProof/>
                <w:webHidden/>
              </w:rPr>
              <w:instrText xml:space="preserve"> PAGEREF _Toc472922366 \h </w:instrText>
            </w:r>
            <w:r w:rsidR="00A83364">
              <w:rPr>
                <w:noProof/>
                <w:webHidden/>
              </w:rPr>
            </w:r>
            <w:r w:rsidR="00A83364">
              <w:rPr>
                <w:noProof/>
                <w:webHidden/>
              </w:rPr>
              <w:fldChar w:fldCharType="separate"/>
            </w:r>
            <w:r w:rsidR="00A83364">
              <w:rPr>
                <w:noProof/>
                <w:webHidden/>
              </w:rPr>
              <w:t>11</w:t>
            </w:r>
            <w:r w:rsidR="00A83364">
              <w:rPr>
                <w:noProof/>
                <w:webHidden/>
              </w:rPr>
              <w:fldChar w:fldCharType="end"/>
            </w:r>
          </w:hyperlink>
        </w:p>
        <w:p w14:paraId="51FD4BDC" w14:textId="75FDBA37" w:rsidR="00A83364" w:rsidRDefault="005B1043">
          <w:pPr>
            <w:pStyle w:val="TOC2"/>
            <w:tabs>
              <w:tab w:val="right" w:leader="dot" w:pos="9260"/>
            </w:tabs>
            <w:rPr>
              <w:rFonts w:eastAsiaTheme="minorEastAsia"/>
              <w:b w:val="0"/>
              <w:bCs w:val="0"/>
              <w:noProof/>
              <w:sz w:val="22"/>
              <w:szCs w:val="22"/>
            </w:rPr>
          </w:pPr>
          <w:hyperlink w:anchor="_Toc472922367" w:history="1">
            <w:r w:rsidR="00A83364" w:rsidRPr="004E5FD2">
              <w:rPr>
                <w:rStyle w:val="Hyperlink"/>
                <w:noProof/>
              </w:rPr>
              <w:t>Revenue Allocation</w:t>
            </w:r>
            <w:r w:rsidR="00A83364">
              <w:rPr>
                <w:noProof/>
                <w:webHidden/>
              </w:rPr>
              <w:tab/>
            </w:r>
            <w:r w:rsidR="00A83364">
              <w:rPr>
                <w:noProof/>
                <w:webHidden/>
              </w:rPr>
              <w:fldChar w:fldCharType="begin"/>
            </w:r>
            <w:r w:rsidR="00A83364">
              <w:rPr>
                <w:noProof/>
                <w:webHidden/>
              </w:rPr>
              <w:instrText xml:space="preserve"> PAGEREF _Toc472922367 \h </w:instrText>
            </w:r>
            <w:r w:rsidR="00A83364">
              <w:rPr>
                <w:noProof/>
                <w:webHidden/>
              </w:rPr>
            </w:r>
            <w:r w:rsidR="00A83364">
              <w:rPr>
                <w:noProof/>
                <w:webHidden/>
              </w:rPr>
              <w:fldChar w:fldCharType="separate"/>
            </w:r>
            <w:r w:rsidR="00A83364">
              <w:rPr>
                <w:noProof/>
                <w:webHidden/>
              </w:rPr>
              <w:t>12</w:t>
            </w:r>
            <w:r w:rsidR="00A83364">
              <w:rPr>
                <w:noProof/>
                <w:webHidden/>
              </w:rPr>
              <w:fldChar w:fldCharType="end"/>
            </w:r>
          </w:hyperlink>
        </w:p>
        <w:p w14:paraId="7D54291C" w14:textId="1D790775" w:rsidR="00A83364" w:rsidRDefault="005B1043">
          <w:pPr>
            <w:pStyle w:val="TOC2"/>
            <w:tabs>
              <w:tab w:val="right" w:leader="dot" w:pos="9260"/>
            </w:tabs>
            <w:rPr>
              <w:rFonts w:eastAsiaTheme="minorEastAsia"/>
              <w:b w:val="0"/>
              <w:bCs w:val="0"/>
              <w:noProof/>
              <w:sz w:val="22"/>
              <w:szCs w:val="22"/>
            </w:rPr>
          </w:pPr>
          <w:hyperlink w:anchor="_Toc472922368" w:history="1">
            <w:r w:rsidR="00A83364" w:rsidRPr="004E5FD2">
              <w:rPr>
                <w:rStyle w:val="Hyperlink"/>
                <w:noProof/>
              </w:rPr>
              <w:t>Bonuses</w:t>
            </w:r>
            <w:r w:rsidR="00A83364">
              <w:rPr>
                <w:noProof/>
                <w:webHidden/>
              </w:rPr>
              <w:tab/>
            </w:r>
            <w:r w:rsidR="00A83364">
              <w:rPr>
                <w:noProof/>
                <w:webHidden/>
              </w:rPr>
              <w:fldChar w:fldCharType="begin"/>
            </w:r>
            <w:r w:rsidR="00A83364">
              <w:rPr>
                <w:noProof/>
                <w:webHidden/>
              </w:rPr>
              <w:instrText xml:space="preserve"> PAGEREF _Toc472922368 \h </w:instrText>
            </w:r>
            <w:r w:rsidR="00A83364">
              <w:rPr>
                <w:noProof/>
                <w:webHidden/>
              </w:rPr>
            </w:r>
            <w:r w:rsidR="00A83364">
              <w:rPr>
                <w:noProof/>
                <w:webHidden/>
              </w:rPr>
              <w:fldChar w:fldCharType="separate"/>
            </w:r>
            <w:r w:rsidR="00A83364">
              <w:rPr>
                <w:noProof/>
                <w:webHidden/>
              </w:rPr>
              <w:t>13</w:t>
            </w:r>
            <w:r w:rsidR="00A83364">
              <w:rPr>
                <w:noProof/>
                <w:webHidden/>
              </w:rPr>
              <w:fldChar w:fldCharType="end"/>
            </w:r>
          </w:hyperlink>
        </w:p>
        <w:p w14:paraId="20BA107C" w14:textId="4DF6FCEB" w:rsidR="00A83364" w:rsidRDefault="005B1043">
          <w:pPr>
            <w:pStyle w:val="TOC1"/>
            <w:tabs>
              <w:tab w:val="right" w:leader="dot" w:pos="9260"/>
            </w:tabs>
            <w:rPr>
              <w:rFonts w:asciiTheme="minorHAnsi" w:eastAsiaTheme="minorEastAsia" w:hAnsiTheme="minorHAnsi"/>
              <w:b w:val="0"/>
              <w:bCs w:val="0"/>
              <w:caps w:val="0"/>
              <w:noProof/>
              <w:sz w:val="22"/>
              <w:szCs w:val="22"/>
            </w:rPr>
          </w:pPr>
          <w:hyperlink w:anchor="_Toc472922369" w:history="1">
            <w:r w:rsidR="00A83364" w:rsidRPr="004E5FD2">
              <w:rPr>
                <w:rStyle w:val="Hyperlink"/>
                <w:noProof/>
              </w:rPr>
              <w:t>Appendix 2: Additional Meanings</w:t>
            </w:r>
            <w:r w:rsidR="00A83364">
              <w:rPr>
                <w:noProof/>
                <w:webHidden/>
              </w:rPr>
              <w:tab/>
            </w:r>
            <w:r w:rsidR="00A83364">
              <w:rPr>
                <w:noProof/>
                <w:webHidden/>
              </w:rPr>
              <w:fldChar w:fldCharType="begin"/>
            </w:r>
            <w:r w:rsidR="00A83364">
              <w:rPr>
                <w:noProof/>
                <w:webHidden/>
              </w:rPr>
              <w:instrText xml:space="preserve"> PAGEREF _Toc472922369 \h </w:instrText>
            </w:r>
            <w:r w:rsidR="00A83364">
              <w:rPr>
                <w:noProof/>
                <w:webHidden/>
              </w:rPr>
            </w:r>
            <w:r w:rsidR="00A83364">
              <w:rPr>
                <w:noProof/>
                <w:webHidden/>
              </w:rPr>
              <w:fldChar w:fldCharType="separate"/>
            </w:r>
            <w:r w:rsidR="00A83364">
              <w:rPr>
                <w:noProof/>
                <w:webHidden/>
              </w:rPr>
              <w:t>14</w:t>
            </w:r>
            <w:r w:rsidR="00A83364">
              <w:rPr>
                <w:noProof/>
                <w:webHidden/>
              </w:rPr>
              <w:fldChar w:fldCharType="end"/>
            </w:r>
          </w:hyperlink>
        </w:p>
        <w:p w14:paraId="14310DEF" w14:textId="54F56505" w:rsidR="00720BAD" w:rsidRDefault="00720BAD">
          <w:r>
            <w:rPr>
              <w:b/>
              <w:bCs/>
              <w:noProof/>
            </w:rPr>
            <w:fldChar w:fldCharType="end"/>
          </w:r>
        </w:p>
      </w:sdtContent>
    </w:sdt>
    <w:p w14:paraId="2727B801" w14:textId="0DB70A4B" w:rsidR="00720BAD" w:rsidRDefault="00720BAD"/>
    <w:p w14:paraId="7979D052" w14:textId="77777777" w:rsidR="00D9613B" w:rsidRDefault="00D9613B">
      <w:pPr>
        <w:rPr>
          <w:rFonts w:asciiTheme="majorHAnsi" w:eastAsiaTheme="majorEastAsia" w:hAnsiTheme="majorHAnsi" w:cstheme="majorBidi"/>
          <w:b/>
          <w:bCs/>
          <w:color w:val="4F81BD" w:themeColor="accent1"/>
          <w:sz w:val="26"/>
          <w:szCs w:val="26"/>
        </w:rPr>
      </w:pPr>
      <w:r>
        <w:br w:type="page"/>
      </w:r>
    </w:p>
    <w:p w14:paraId="5139D532" w14:textId="77777777" w:rsidR="00E651AC" w:rsidRPr="00D62793" w:rsidRDefault="00E651AC" w:rsidP="00720BAD">
      <w:pPr>
        <w:pStyle w:val="Heading1"/>
        <w:rPr>
          <w:color w:val="auto"/>
        </w:rPr>
      </w:pPr>
      <w:bookmarkStart w:id="3" w:name="_Toc443472286"/>
      <w:bookmarkStart w:id="4" w:name="_Toc472922359"/>
      <w:r w:rsidRPr="00D62793">
        <w:rPr>
          <w:color w:val="auto"/>
        </w:rPr>
        <w:lastRenderedPageBreak/>
        <w:t>Definitions</w:t>
      </w:r>
      <w:bookmarkEnd w:id="2"/>
      <w:bookmarkEnd w:id="1"/>
      <w:bookmarkEnd w:id="0"/>
      <w:bookmarkEnd w:id="3"/>
      <w:bookmarkEnd w:id="4"/>
    </w:p>
    <w:p w14:paraId="32B4BF4C" w14:textId="103E7BEC" w:rsidR="00E651AC" w:rsidRPr="00D62793" w:rsidRDefault="00E651AC" w:rsidP="00E651AC">
      <w:r w:rsidRPr="00D62793">
        <w:t xml:space="preserve">The following definitions are user throughout the </w:t>
      </w:r>
      <w:r w:rsidR="00BE6415" w:rsidRPr="00D62793">
        <w:t>FY</w:t>
      </w:r>
      <w:r w:rsidR="00291F9D" w:rsidRPr="00D62793">
        <w:t>XX</w:t>
      </w:r>
      <w:r w:rsidRPr="00D62793">
        <w:t xml:space="preserve"> </w:t>
      </w:r>
      <w:r w:rsidR="00441E63" w:rsidRPr="00D62793">
        <w:t xml:space="preserve">Sales </w:t>
      </w:r>
      <w:r w:rsidRPr="00D62793">
        <w:t xml:space="preserve">Compensation Term &amp; Conditions </w:t>
      </w:r>
      <w:r w:rsidR="00441E63" w:rsidRPr="00D62793">
        <w:t xml:space="preserve">(“T&amp;Cs”) </w:t>
      </w:r>
      <w:r w:rsidRPr="00D62793">
        <w:t>and on applicable Individualized Compensation Plans.</w:t>
      </w:r>
    </w:p>
    <w:tbl>
      <w:tblPr>
        <w:tblStyle w:val="TableGrid"/>
        <w:tblW w:w="9828" w:type="dxa"/>
        <w:tblLook w:val="04A0" w:firstRow="1" w:lastRow="0" w:firstColumn="1" w:lastColumn="0" w:noHBand="0" w:noVBand="1"/>
      </w:tblPr>
      <w:tblGrid>
        <w:gridCol w:w="2178"/>
        <w:gridCol w:w="7650"/>
      </w:tblGrid>
      <w:tr w:rsidR="00D62793" w:rsidRPr="00D62793" w14:paraId="211AF1A7" w14:textId="77777777" w:rsidTr="00650483">
        <w:tc>
          <w:tcPr>
            <w:tcW w:w="2178" w:type="dxa"/>
          </w:tcPr>
          <w:p w14:paraId="5B1BA22C" w14:textId="77777777" w:rsidR="00E651AC" w:rsidRPr="00D62793" w:rsidRDefault="00E651AC" w:rsidP="00E651AC">
            <w:pPr>
              <w:rPr>
                <w:b/>
              </w:rPr>
            </w:pPr>
            <w:r w:rsidRPr="00D62793">
              <w:rPr>
                <w:b/>
              </w:rPr>
              <w:t>Administrative Errors</w:t>
            </w:r>
          </w:p>
        </w:tc>
        <w:tc>
          <w:tcPr>
            <w:tcW w:w="7650" w:type="dxa"/>
          </w:tcPr>
          <w:p w14:paraId="4E294A79" w14:textId="77777777" w:rsidR="00E651AC" w:rsidRPr="00D62793" w:rsidRDefault="00E651AC" w:rsidP="00E651AC">
            <w:r w:rsidRPr="00D62793">
              <w:t>Administrative and/or clerical errors relating to calculations, formulas, computations, accounting, reconciliations, rounding, currencies, account holds, approval process, order submission, bookings, product designation, Plan activation, Plan elements, Plan acceptance, data entry, submission, collection, location, refreshing, deletion and/or storage.</w:t>
            </w:r>
          </w:p>
        </w:tc>
      </w:tr>
      <w:tr w:rsidR="00D62793" w:rsidRPr="00D62793" w14:paraId="421DF651" w14:textId="77777777" w:rsidTr="00650483">
        <w:tc>
          <w:tcPr>
            <w:tcW w:w="2178" w:type="dxa"/>
          </w:tcPr>
          <w:p w14:paraId="21B56A83" w14:textId="4C421718" w:rsidR="00E651AC" w:rsidRPr="00D62793" w:rsidRDefault="00B65455" w:rsidP="00A60A60">
            <w:pPr>
              <w:rPr>
                <w:b/>
              </w:rPr>
            </w:pPr>
            <w:r w:rsidRPr="00D62793">
              <w:rPr>
                <w:b/>
              </w:rPr>
              <w:t xml:space="preserve">Advances Against </w:t>
            </w:r>
            <w:r w:rsidR="00A60A60" w:rsidRPr="00D62793">
              <w:rPr>
                <w:b/>
              </w:rPr>
              <w:t xml:space="preserve">Incentive </w:t>
            </w:r>
            <w:r w:rsidRPr="00D62793">
              <w:rPr>
                <w:b/>
              </w:rPr>
              <w:t>Compensation</w:t>
            </w:r>
          </w:p>
        </w:tc>
        <w:tc>
          <w:tcPr>
            <w:tcW w:w="7650" w:type="dxa"/>
          </w:tcPr>
          <w:p w14:paraId="47C3EB12" w14:textId="03FD44FB" w:rsidR="00E651AC" w:rsidRPr="00D62793" w:rsidRDefault="00B65455" w:rsidP="00A60A60">
            <w:r w:rsidRPr="00D62793">
              <w:t xml:space="preserve">Any unearned compensation, unless specifically designated as non-recoverable, is considered a </w:t>
            </w:r>
            <w:r w:rsidR="00650483" w:rsidRPr="00D62793">
              <w:t>recoverable</w:t>
            </w:r>
            <w:r w:rsidRPr="00D62793">
              <w:t xml:space="preserve"> advance against </w:t>
            </w:r>
            <w:r w:rsidR="00A60A60" w:rsidRPr="00D62793">
              <w:t xml:space="preserve">incentive </w:t>
            </w:r>
            <w:r w:rsidRPr="00D62793">
              <w:t xml:space="preserve">compensation. Examples include unearned </w:t>
            </w:r>
            <w:r w:rsidR="00A60A60" w:rsidRPr="00D62793">
              <w:t>c</w:t>
            </w:r>
            <w:r w:rsidRPr="00D62793">
              <w:t xml:space="preserve">ommissions or </w:t>
            </w:r>
            <w:r w:rsidR="00A60A60" w:rsidRPr="00D62793">
              <w:t>b</w:t>
            </w:r>
            <w:r w:rsidRPr="00D62793">
              <w:t xml:space="preserve">onuses resulting from adjustments, modifications, payment errors, or changes under the Plan, Credit Memos or </w:t>
            </w:r>
            <w:proofErr w:type="spellStart"/>
            <w:r w:rsidRPr="00D62793">
              <w:t>Clawbacks</w:t>
            </w:r>
            <w:proofErr w:type="spellEnd"/>
            <w:r w:rsidRPr="00D62793">
              <w:t>, and recoverable draws.</w:t>
            </w:r>
          </w:p>
        </w:tc>
      </w:tr>
      <w:tr w:rsidR="00D62793" w:rsidRPr="00D62793" w14:paraId="3218FD50" w14:textId="77777777" w:rsidTr="00650483">
        <w:tc>
          <w:tcPr>
            <w:tcW w:w="2178" w:type="dxa"/>
          </w:tcPr>
          <w:p w14:paraId="21EF15F7" w14:textId="236C1049" w:rsidR="000A060A" w:rsidRPr="00D62793" w:rsidRDefault="000A060A" w:rsidP="00B65455">
            <w:pPr>
              <w:rPr>
                <w:b/>
              </w:rPr>
            </w:pPr>
            <w:r w:rsidRPr="00D62793">
              <w:rPr>
                <w:b/>
              </w:rPr>
              <w:t>Annual Contract Value</w:t>
            </w:r>
            <w:r w:rsidR="007F52CA" w:rsidRPr="00D62793">
              <w:rPr>
                <w:b/>
              </w:rPr>
              <w:t xml:space="preserve"> (ACV)</w:t>
            </w:r>
          </w:p>
        </w:tc>
        <w:tc>
          <w:tcPr>
            <w:tcW w:w="7650" w:type="dxa"/>
          </w:tcPr>
          <w:p w14:paraId="6C2A695D" w14:textId="1086EE2E" w:rsidR="000A060A" w:rsidRPr="00D62793" w:rsidRDefault="000A060A" w:rsidP="007B4A0D">
            <w:r w:rsidRPr="00D62793">
              <w:t xml:space="preserve">Net Annual </w:t>
            </w:r>
            <w:r w:rsidR="007F52CA" w:rsidRPr="00D62793">
              <w:t xml:space="preserve">Contract </w:t>
            </w:r>
            <w:r w:rsidRPr="00D62793">
              <w:t>Value</w:t>
            </w:r>
            <w:r w:rsidR="007F52CA" w:rsidRPr="00D62793">
              <w:t xml:space="preserve"> of a subscription agreement</w:t>
            </w:r>
            <w:r w:rsidRPr="00D62793">
              <w:t xml:space="preserve"> </w:t>
            </w:r>
          </w:p>
        </w:tc>
      </w:tr>
      <w:tr w:rsidR="00D62793" w:rsidRPr="00D62793" w14:paraId="6F1F5A19" w14:textId="77777777" w:rsidTr="00650483">
        <w:tc>
          <w:tcPr>
            <w:tcW w:w="2178" w:type="dxa"/>
          </w:tcPr>
          <w:p w14:paraId="127F6708" w14:textId="03B9957E" w:rsidR="004312C6" w:rsidRPr="00D62793" w:rsidRDefault="004312C6" w:rsidP="00B65455">
            <w:pPr>
              <w:rPr>
                <w:b/>
              </w:rPr>
            </w:pPr>
            <w:r w:rsidRPr="00D62793">
              <w:rPr>
                <w:b/>
              </w:rPr>
              <w:t>Annuity</w:t>
            </w:r>
            <w:r w:rsidR="007F52CA" w:rsidRPr="00D62793">
              <w:rPr>
                <w:b/>
              </w:rPr>
              <w:t xml:space="preserve"> Value (Bookable)</w:t>
            </w:r>
          </w:p>
        </w:tc>
        <w:tc>
          <w:tcPr>
            <w:tcW w:w="7650" w:type="dxa"/>
          </w:tcPr>
          <w:p w14:paraId="3CA05D12" w14:textId="77A11913" w:rsidR="004312C6" w:rsidRPr="00D62793" w:rsidRDefault="004312C6" w:rsidP="001D5CFF">
            <w:r w:rsidRPr="00D62793">
              <w:t>Annuity is defined a</w:t>
            </w:r>
            <w:r w:rsidR="007B4A0D" w:rsidRPr="00D62793">
              <w:t xml:space="preserve">s a </w:t>
            </w:r>
            <w:r w:rsidRPr="00D62793">
              <w:t xml:space="preserve">payment of a subscription contract to any terminating stream of fixed payments over a specified </w:t>
            </w:r>
            <w:r w:rsidR="00F138A1" w:rsidRPr="00D62793">
              <w:t>period</w:t>
            </w:r>
            <w:r w:rsidRPr="00D62793">
              <w:t>.</w:t>
            </w:r>
            <w:r w:rsidR="007B4A0D" w:rsidRPr="00D62793">
              <w:t xml:space="preserve"> </w:t>
            </w:r>
            <w:r w:rsidR="00291F9D" w:rsidRPr="00D62793">
              <w:t>COMPANY</w:t>
            </w:r>
            <w:r w:rsidR="007B4A0D" w:rsidRPr="00D62793">
              <w:t xml:space="preserve">’s standard Annuity </w:t>
            </w:r>
            <w:r w:rsidR="00A60A60" w:rsidRPr="00D62793">
              <w:t xml:space="preserve">period </w:t>
            </w:r>
            <w:r w:rsidR="007B4A0D" w:rsidRPr="00D62793">
              <w:t>is twelve (12) months</w:t>
            </w:r>
            <w:r w:rsidR="007F52CA" w:rsidRPr="00D62793">
              <w:t xml:space="preserve"> for new subscriptions, or &lt;12 months </w:t>
            </w:r>
            <w:r w:rsidR="001D5CFF" w:rsidRPr="00D62793">
              <w:t xml:space="preserve">for off-term </w:t>
            </w:r>
            <w:r w:rsidR="007F52CA" w:rsidRPr="00D62793">
              <w:t>add-on</w:t>
            </w:r>
            <w:r w:rsidR="001D5CFF" w:rsidRPr="00D62793">
              <w:t>(s)</w:t>
            </w:r>
            <w:r w:rsidR="007B4A0D" w:rsidRPr="00D62793">
              <w:t xml:space="preserve">. </w:t>
            </w:r>
          </w:p>
        </w:tc>
      </w:tr>
      <w:tr w:rsidR="00D62793" w:rsidRPr="00D62793" w14:paraId="0910E046" w14:textId="77777777" w:rsidTr="00650483">
        <w:tc>
          <w:tcPr>
            <w:tcW w:w="2178" w:type="dxa"/>
          </w:tcPr>
          <w:p w14:paraId="01E211CF" w14:textId="59117A15" w:rsidR="00BE6415" w:rsidRPr="00D62793" w:rsidRDefault="00BE6415" w:rsidP="00B65455">
            <w:pPr>
              <w:rPr>
                <w:b/>
              </w:rPr>
            </w:pPr>
            <w:r w:rsidRPr="00D62793">
              <w:rPr>
                <w:b/>
              </w:rPr>
              <w:t xml:space="preserve">Annual </w:t>
            </w:r>
            <w:r w:rsidR="004223FD" w:rsidRPr="00D62793">
              <w:rPr>
                <w:b/>
              </w:rPr>
              <w:t>Recurring</w:t>
            </w:r>
            <w:r w:rsidRPr="00D62793">
              <w:rPr>
                <w:b/>
              </w:rPr>
              <w:t xml:space="preserve"> Revenue (ARR)</w:t>
            </w:r>
          </w:p>
        </w:tc>
        <w:tc>
          <w:tcPr>
            <w:tcW w:w="7650" w:type="dxa"/>
          </w:tcPr>
          <w:p w14:paraId="58D1F0D4" w14:textId="4DF493D0" w:rsidR="00BE6415" w:rsidRPr="00D62793" w:rsidRDefault="00BE6415" w:rsidP="00E651AC">
            <w:r w:rsidRPr="00D62793">
              <w:t xml:space="preserve">A key metric used by subscription businesses that have Term subscription agreements, a defined contract length. ARR is the value of the contracted recurring revenue components of </w:t>
            </w:r>
            <w:r w:rsidR="006168E0" w:rsidRPr="00D62793">
              <w:t>the</w:t>
            </w:r>
            <w:r w:rsidRPr="00D62793">
              <w:t xml:space="preserve"> term subscriptions normalized to a one year period. </w:t>
            </w:r>
            <w:r w:rsidRPr="00D62793">
              <w:br/>
            </w:r>
            <w:r w:rsidR="00F138A1" w:rsidRPr="00D62793">
              <w:t>To</w:t>
            </w:r>
            <w:r w:rsidRPr="00D62793">
              <w:t xml:space="preserve"> effectively use ARR as a metric</w:t>
            </w:r>
            <w:r w:rsidR="006168E0" w:rsidRPr="00D62793">
              <w:t xml:space="preserve"> </w:t>
            </w:r>
            <w:r w:rsidR="00291F9D" w:rsidRPr="00D62793">
              <w:t>COMPANY</w:t>
            </w:r>
            <w:r w:rsidR="006168E0" w:rsidRPr="00D62793">
              <w:t xml:space="preserve"> has</w:t>
            </w:r>
            <w:r w:rsidRPr="00D62793">
              <w:t xml:space="preserve"> term agreements with a </w:t>
            </w:r>
            <w:r w:rsidRPr="00D62793">
              <w:rPr>
                <w:b/>
                <w:bCs/>
              </w:rPr>
              <w:t>minimum duration of one year</w:t>
            </w:r>
            <w:r w:rsidR="006168E0" w:rsidRPr="00D62793">
              <w:t>.</w:t>
            </w:r>
          </w:p>
        </w:tc>
      </w:tr>
      <w:tr w:rsidR="00D62793" w:rsidRPr="00D62793" w14:paraId="373B4B24" w14:textId="77777777" w:rsidTr="00650483">
        <w:tc>
          <w:tcPr>
            <w:tcW w:w="2178" w:type="dxa"/>
          </w:tcPr>
          <w:p w14:paraId="20D053C4" w14:textId="2383A030" w:rsidR="00E651AC" w:rsidRPr="00D62793" w:rsidRDefault="00B65455" w:rsidP="00B65455">
            <w:pPr>
              <w:rPr>
                <w:b/>
              </w:rPr>
            </w:pPr>
            <w:r w:rsidRPr="00D62793">
              <w:rPr>
                <w:b/>
              </w:rPr>
              <w:t>Bonus or Bonuses</w:t>
            </w:r>
          </w:p>
        </w:tc>
        <w:tc>
          <w:tcPr>
            <w:tcW w:w="7650" w:type="dxa"/>
          </w:tcPr>
          <w:p w14:paraId="732A4238" w14:textId="77777777" w:rsidR="00E651AC" w:rsidRPr="00D62793" w:rsidRDefault="00B65455" w:rsidP="00E651AC">
            <w:r w:rsidRPr="00D62793">
              <w:t xml:space="preserve">Bonuses are payments based on achievement of specified objectives and/or targets and may not necessarily be tied to a specific </w:t>
            </w:r>
            <w:r w:rsidR="00B969F8" w:rsidRPr="00D62793">
              <w:t>percentage rate based calculation.</w:t>
            </w:r>
          </w:p>
        </w:tc>
      </w:tr>
      <w:tr w:rsidR="00D62793" w:rsidRPr="00D62793" w14:paraId="73624FF7" w14:textId="77777777" w:rsidTr="00650483">
        <w:tc>
          <w:tcPr>
            <w:tcW w:w="2178" w:type="dxa"/>
          </w:tcPr>
          <w:p w14:paraId="78BE7406" w14:textId="77777777" w:rsidR="00E651AC" w:rsidRPr="00D62793" w:rsidRDefault="00B65455" w:rsidP="00E651AC">
            <w:pPr>
              <w:rPr>
                <w:b/>
              </w:rPr>
            </w:pPr>
            <w:r w:rsidRPr="00D62793">
              <w:rPr>
                <w:b/>
              </w:rPr>
              <w:t>Booking or Bookings</w:t>
            </w:r>
          </w:p>
        </w:tc>
        <w:tc>
          <w:tcPr>
            <w:tcW w:w="7650" w:type="dxa"/>
          </w:tcPr>
          <w:p w14:paraId="3D76031D" w14:textId="779FA37B" w:rsidR="00E651AC" w:rsidRPr="00D62793" w:rsidRDefault="00A85E5F" w:rsidP="00A6619B">
            <w:r w:rsidRPr="00D62793">
              <w:t xml:space="preserve">Purchase orders, engagement contracts and/or legally accepted modifications to contracts as recognized by </w:t>
            </w:r>
            <w:r w:rsidR="00291F9D" w:rsidRPr="00D62793">
              <w:t>COMPANY</w:t>
            </w:r>
            <w:r w:rsidRPr="00D62793">
              <w:t xml:space="preserve"> </w:t>
            </w:r>
            <w:proofErr w:type="gramStart"/>
            <w:r w:rsidRPr="00D62793">
              <w:t>are considered</w:t>
            </w:r>
            <w:proofErr w:type="gramEnd"/>
            <w:r w:rsidRPr="00D62793">
              <w:t xml:space="preserve"> </w:t>
            </w:r>
            <w:r w:rsidR="00A60A60" w:rsidRPr="00D62793">
              <w:t>acce</w:t>
            </w:r>
            <w:r w:rsidR="00067285" w:rsidRPr="00D62793">
              <w:t>p</w:t>
            </w:r>
            <w:r w:rsidR="00A60A60" w:rsidRPr="00D62793">
              <w:t>ta</w:t>
            </w:r>
            <w:r w:rsidR="00067285" w:rsidRPr="00D62793">
              <w:t>ble</w:t>
            </w:r>
            <w:r w:rsidR="00A60A60" w:rsidRPr="00D62793">
              <w:t xml:space="preserve"> </w:t>
            </w:r>
            <w:r w:rsidRPr="00D62793">
              <w:t xml:space="preserve">bookings. </w:t>
            </w:r>
            <w:r w:rsidR="00A60A60" w:rsidRPr="00D62793">
              <w:t xml:space="preserve">Bookings </w:t>
            </w:r>
            <w:r w:rsidRPr="00D62793">
              <w:t xml:space="preserve">are only </w:t>
            </w:r>
            <w:r w:rsidR="00A60A60" w:rsidRPr="00D62793">
              <w:t>processed</w:t>
            </w:r>
            <w:r w:rsidRPr="00D62793">
              <w:t xml:space="preserve"> to the extent that they are funded. </w:t>
            </w:r>
          </w:p>
        </w:tc>
      </w:tr>
      <w:tr w:rsidR="00D62793" w:rsidRPr="00D62793" w14:paraId="7CCCFC0E" w14:textId="77777777" w:rsidTr="00650483">
        <w:tc>
          <w:tcPr>
            <w:tcW w:w="2178" w:type="dxa"/>
          </w:tcPr>
          <w:p w14:paraId="1DA2AE2B" w14:textId="77777777" w:rsidR="00E651AC" w:rsidRPr="00D62793" w:rsidRDefault="00B65455" w:rsidP="00E651AC">
            <w:pPr>
              <w:rPr>
                <w:b/>
              </w:rPr>
            </w:pPr>
            <w:proofErr w:type="spellStart"/>
            <w:r w:rsidRPr="00D62793">
              <w:rPr>
                <w:b/>
              </w:rPr>
              <w:t>Clawback</w:t>
            </w:r>
            <w:proofErr w:type="spellEnd"/>
            <w:r w:rsidRPr="00D62793">
              <w:rPr>
                <w:b/>
              </w:rPr>
              <w:t xml:space="preserve">, clawed back, or </w:t>
            </w:r>
            <w:proofErr w:type="spellStart"/>
            <w:r w:rsidRPr="00D62793">
              <w:rPr>
                <w:b/>
              </w:rPr>
              <w:t>Clawbacks</w:t>
            </w:r>
            <w:proofErr w:type="spellEnd"/>
          </w:p>
        </w:tc>
        <w:tc>
          <w:tcPr>
            <w:tcW w:w="7650" w:type="dxa"/>
          </w:tcPr>
          <w:p w14:paraId="05006FC8" w14:textId="02FDD9D7" w:rsidR="00E651AC" w:rsidRPr="00D62793" w:rsidRDefault="00A85E5F" w:rsidP="00A60A60">
            <w:r w:rsidRPr="00D62793">
              <w:t xml:space="preserve">If a customer’s account receivables become greater than </w:t>
            </w:r>
            <w:r w:rsidR="00291F9D" w:rsidRPr="00D62793">
              <w:t>COMPANY</w:t>
            </w:r>
            <w:r w:rsidR="00307127" w:rsidRPr="00D62793">
              <w:t xml:space="preserve">’s limit for days past due, </w:t>
            </w:r>
            <w:r w:rsidRPr="00D62793">
              <w:t xml:space="preserve">all </w:t>
            </w:r>
            <w:r w:rsidR="00A60A60" w:rsidRPr="00D62793">
              <w:t>advanced incentive com</w:t>
            </w:r>
            <w:r w:rsidR="00067285" w:rsidRPr="00D62793">
              <w:t>p</w:t>
            </w:r>
            <w:r w:rsidR="00A60A60" w:rsidRPr="00D62793">
              <w:t>ensation like C</w:t>
            </w:r>
            <w:r w:rsidRPr="00D62793">
              <w:t xml:space="preserve">ommissions, Sales Credits or Bonus credits associated with the </w:t>
            </w:r>
            <w:r w:rsidR="00A60A60" w:rsidRPr="00D62793">
              <w:t>Booking</w:t>
            </w:r>
            <w:r w:rsidRPr="00D62793">
              <w:t xml:space="preserve"> are recoverable (“Clawed back”) against current </w:t>
            </w:r>
            <w:r w:rsidR="00A60A60" w:rsidRPr="00D62793">
              <w:t>incentive compensation</w:t>
            </w:r>
            <w:r w:rsidR="00307127" w:rsidRPr="00D62793">
              <w:t xml:space="preserve"> as shown on Appendix A</w:t>
            </w:r>
            <w:r w:rsidRPr="00D62793">
              <w:t xml:space="preserve">. </w:t>
            </w:r>
            <w:r w:rsidR="00A60A60" w:rsidRPr="00D62793">
              <w:t>This is the o</w:t>
            </w:r>
            <w:r w:rsidRPr="00D62793">
              <w:t xml:space="preserve">pposite of a Giveback. </w:t>
            </w:r>
          </w:p>
        </w:tc>
      </w:tr>
      <w:tr w:rsidR="00D62793" w:rsidRPr="00D62793" w14:paraId="4750CED2" w14:textId="77777777" w:rsidTr="00650483">
        <w:tc>
          <w:tcPr>
            <w:tcW w:w="2178" w:type="dxa"/>
          </w:tcPr>
          <w:p w14:paraId="5EEEB253" w14:textId="77777777" w:rsidR="00E651AC" w:rsidRPr="00D62793" w:rsidRDefault="00B65455" w:rsidP="00E651AC">
            <w:pPr>
              <w:rPr>
                <w:b/>
              </w:rPr>
            </w:pPr>
            <w:r w:rsidRPr="00D62793">
              <w:rPr>
                <w:b/>
              </w:rPr>
              <w:t>Collection Process</w:t>
            </w:r>
          </w:p>
        </w:tc>
        <w:tc>
          <w:tcPr>
            <w:tcW w:w="7650" w:type="dxa"/>
          </w:tcPr>
          <w:p w14:paraId="063C0321" w14:textId="6B8FB35E" w:rsidR="00E651AC" w:rsidRPr="00D62793" w:rsidRDefault="00F03E04" w:rsidP="00067285">
            <w:r w:rsidRPr="00D62793">
              <w:t xml:space="preserve">A process for recovering negative </w:t>
            </w:r>
            <w:r w:rsidR="00067285" w:rsidRPr="00D62793">
              <w:t xml:space="preserve">incentive </w:t>
            </w:r>
            <w:r w:rsidRPr="00D62793">
              <w:t xml:space="preserve">compensation balances from current employees. Under this process, employees receive written notification from the company requiring repayment of the negative balance. Where permitted by law, the Collection </w:t>
            </w:r>
            <w:r w:rsidR="00067285" w:rsidRPr="00D62793">
              <w:t>P</w:t>
            </w:r>
            <w:r w:rsidRPr="00D62793">
              <w:t>rocess may also be initiated against former employees with negative compensation balances.</w:t>
            </w:r>
          </w:p>
        </w:tc>
      </w:tr>
      <w:tr w:rsidR="00D62793" w:rsidRPr="00D62793" w14:paraId="601BA39A" w14:textId="77777777" w:rsidTr="00650483">
        <w:tc>
          <w:tcPr>
            <w:tcW w:w="2178" w:type="dxa"/>
          </w:tcPr>
          <w:p w14:paraId="021B3339" w14:textId="77777777" w:rsidR="00E651AC" w:rsidRPr="00D62793" w:rsidRDefault="00B65455" w:rsidP="00E651AC">
            <w:pPr>
              <w:rPr>
                <w:b/>
              </w:rPr>
            </w:pPr>
            <w:r w:rsidRPr="00D62793">
              <w:rPr>
                <w:b/>
              </w:rPr>
              <w:t>Commission or Commissions</w:t>
            </w:r>
          </w:p>
        </w:tc>
        <w:tc>
          <w:tcPr>
            <w:tcW w:w="7650" w:type="dxa"/>
          </w:tcPr>
          <w:p w14:paraId="6888B885" w14:textId="02E11590" w:rsidR="00E651AC" w:rsidRPr="00D62793" w:rsidRDefault="00F03E04" w:rsidP="00E651AC">
            <w:r w:rsidRPr="00D62793">
              <w:t>Payment</w:t>
            </w:r>
            <w:r w:rsidR="00067285" w:rsidRPr="00D62793">
              <w:t>s</w:t>
            </w:r>
            <w:r w:rsidRPr="00D62793">
              <w:t xml:space="preserve"> based upon level attainment of company objectives set forth in the </w:t>
            </w:r>
            <w:r w:rsidR="0028598D" w:rsidRPr="00D62793">
              <w:t>Individualized</w:t>
            </w:r>
            <w:r w:rsidRPr="00D62793">
              <w:t xml:space="preserve"> Compensation Plan</w:t>
            </w:r>
          </w:p>
        </w:tc>
      </w:tr>
      <w:tr w:rsidR="00D62793" w:rsidRPr="00D62793" w14:paraId="02F60225" w14:textId="77777777" w:rsidTr="00650483">
        <w:tc>
          <w:tcPr>
            <w:tcW w:w="2178" w:type="dxa"/>
          </w:tcPr>
          <w:p w14:paraId="1F604142" w14:textId="77777777" w:rsidR="00E651AC" w:rsidRPr="00D62793" w:rsidRDefault="00B65455" w:rsidP="00E651AC">
            <w:pPr>
              <w:rPr>
                <w:b/>
              </w:rPr>
            </w:pPr>
            <w:r w:rsidRPr="00D62793">
              <w:rPr>
                <w:b/>
              </w:rPr>
              <w:t>Commission Rate</w:t>
            </w:r>
          </w:p>
        </w:tc>
        <w:tc>
          <w:tcPr>
            <w:tcW w:w="7650" w:type="dxa"/>
          </w:tcPr>
          <w:p w14:paraId="4AB4538C" w14:textId="0204DEDD" w:rsidR="00E651AC" w:rsidRPr="00D62793" w:rsidRDefault="00F03E04" w:rsidP="00067285">
            <w:r w:rsidRPr="00D62793">
              <w:t xml:space="preserve">Percentage rate(s) at which Commission is calculated. Please refer to </w:t>
            </w:r>
            <w:r w:rsidR="00650483" w:rsidRPr="00D62793">
              <w:t>Appendix</w:t>
            </w:r>
            <w:r w:rsidR="00307127" w:rsidRPr="00D62793">
              <w:t xml:space="preserve"> A</w:t>
            </w:r>
            <w:r w:rsidR="00650483" w:rsidRPr="00D62793">
              <w:t xml:space="preserve"> </w:t>
            </w:r>
            <w:r w:rsidRPr="00D62793">
              <w:t xml:space="preserve">for further calculation definitions, if any that </w:t>
            </w:r>
            <w:r w:rsidR="00067285" w:rsidRPr="00D62793">
              <w:t xml:space="preserve">may </w:t>
            </w:r>
            <w:r w:rsidRPr="00D62793">
              <w:t xml:space="preserve">apply to your </w:t>
            </w:r>
            <w:r w:rsidR="00067285" w:rsidRPr="00D62793">
              <w:t>Participant</w:t>
            </w:r>
            <w:r w:rsidRPr="00D62793">
              <w:t xml:space="preserve"> role.</w:t>
            </w:r>
          </w:p>
        </w:tc>
      </w:tr>
      <w:tr w:rsidR="00D62793" w:rsidRPr="00D62793" w14:paraId="05CB068A" w14:textId="77777777" w:rsidTr="00650483">
        <w:tc>
          <w:tcPr>
            <w:tcW w:w="2178" w:type="dxa"/>
          </w:tcPr>
          <w:p w14:paraId="32BD0894" w14:textId="77777777" w:rsidR="00B65455" w:rsidRPr="00D62793" w:rsidRDefault="00B65455" w:rsidP="00E651AC">
            <w:pPr>
              <w:rPr>
                <w:b/>
              </w:rPr>
            </w:pPr>
            <w:r w:rsidRPr="00D62793">
              <w:rPr>
                <w:b/>
              </w:rPr>
              <w:t>Credit Memo</w:t>
            </w:r>
          </w:p>
        </w:tc>
        <w:tc>
          <w:tcPr>
            <w:tcW w:w="7650" w:type="dxa"/>
          </w:tcPr>
          <w:p w14:paraId="18FEE605" w14:textId="4CC71DBA" w:rsidR="00B65455" w:rsidRPr="00D62793" w:rsidRDefault="00F03E04" w:rsidP="00A6619B">
            <w:r w:rsidRPr="00D62793">
              <w:t xml:space="preserve">When a transaction </w:t>
            </w:r>
            <w:proofErr w:type="gramStart"/>
            <w:r w:rsidRPr="00D62793">
              <w:t>is reversed</w:t>
            </w:r>
            <w:proofErr w:type="gramEnd"/>
            <w:r w:rsidRPr="00D62793">
              <w:t xml:space="preserve"> from </w:t>
            </w:r>
            <w:r w:rsidR="00291F9D" w:rsidRPr="00D62793">
              <w:t>COMPANY</w:t>
            </w:r>
            <w:r w:rsidR="00A6619B" w:rsidRPr="00D62793">
              <w:t>’s</w:t>
            </w:r>
            <w:r w:rsidRPr="00D62793">
              <w:t xml:space="preserve"> General Ledger and/or written-off</w:t>
            </w:r>
            <w:r w:rsidR="00067285" w:rsidRPr="00D62793">
              <w:t>.</w:t>
            </w:r>
          </w:p>
        </w:tc>
      </w:tr>
      <w:tr w:rsidR="00D62793" w:rsidRPr="00D62793" w14:paraId="07D5C843" w14:textId="77777777" w:rsidTr="00650483">
        <w:tc>
          <w:tcPr>
            <w:tcW w:w="2178" w:type="dxa"/>
          </w:tcPr>
          <w:p w14:paraId="58C6A2DD" w14:textId="77777777" w:rsidR="00B65455" w:rsidRPr="00D62793" w:rsidRDefault="00B65455" w:rsidP="00E651AC">
            <w:pPr>
              <w:rPr>
                <w:b/>
              </w:rPr>
            </w:pPr>
            <w:r w:rsidRPr="00D62793">
              <w:rPr>
                <w:b/>
              </w:rPr>
              <w:lastRenderedPageBreak/>
              <w:t>Effective Date</w:t>
            </w:r>
          </w:p>
        </w:tc>
        <w:tc>
          <w:tcPr>
            <w:tcW w:w="7650" w:type="dxa"/>
          </w:tcPr>
          <w:p w14:paraId="5762E41B" w14:textId="150F223A" w:rsidR="00B65455" w:rsidRPr="00D62793" w:rsidRDefault="00F03E04" w:rsidP="00067285">
            <w:r w:rsidRPr="00D62793">
              <w:t xml:space="preserve">The Effective Date is the start date of the Sales Plan. </w:t>
            </w:r>
          </w:p>
        </w:tc>
      </w:tr>
      <w:tr w:rsidR="00D62793" w:rsidRPr="00D62793" w14:paraId="4556A362" w14:textId="77777777" w:rsidTr="00650483">
        <w:tc>
          <w:tcPr>
            <w:tcW w:w="2178" w:type="dxa"/>
          </w:tcPr>
          <w:p w14:paraId="2F706DC2" w14:textId="77777777" w:rsidR="00B65455" w:rsidRPr="00D62793" w:rsidRDefault="00B65455" w:rsidP="00E651AC">
            <w:pPr>
              <w:rPr>
                <w:b/>
              </w:rPr>
            </w:pPr>
            <w:r w:rsidRPr="00D62793">
              <w:rPr>
                <w:b/>
              </w:rPr>
              <w:t>Funding Formula</w:t>
            </w:r>
          </w:p>
        </w:tc>
        <w:tc>
          <w:tcPr>
            <w:tcW w:w="7650" w:type="dxa"/>
          </w:tcPr>
          <w:p w14:paraId="072F86E5" w14:textId="77777777" w:rsidR="00B65455" w:rsidRPr="00D62793" w:rsidRDefault="00F03E04" w:rsidP="00E651AC">
            <w:r w:rsidRPr="00D62793">
              <w:t>Formula used to calculate pool or team based compensation plans.</w:t>
            </w:r>
          </w:p>
        </w:tc>
      </w:tr>
      <w:tr w:rsidR="00D62793" w:rsidRPr="00D62793" w14:paraId="12956794" w14:textId="77777777" w:rsidTr="00650483">
        <w:tc>
          <w:tcPr>
            <w:tcW w:w="2178" w:type="dxa"/>
          </w:tcPr>
          <w:p w14:paraId="27C6B62D" w14:textId="77777777" w:rsidR="00B65455" w:rsidRPr="00D62793" w:rsidRDefault="00B65455" w:rsidP="00E651AC">
            <w:pPr>
              <w:rPr>
                <w:b/>
              </w:rPr>
            </w:pPr>
            <w:r w:rsidRPr="00D62793">
              <w:rPr>
                <w:b/>
              </w:rPr>
              <w:t>Giveback or Givebacks</w:t>
            </w:r>
          </w:p>
        </w:tc>
        <w:tc>
          <w:tcPr>
            <w:tcW w:w="7650" w:type="dxa"/>
          </w:tcPr>
          <w:p w14:paraId="0D47B272" w14:textId="433EAA14" w:rsidR="00B65455" w:rsidRPr="00D62793" w:rsidRDefault="00F03E04" w:rsidP="00E651AC">
            <w:r w:rsidRPr="00D62793">
              <w:t xml:space="preserve">Reversal of a Clawback. Sales Credit/Bonus are reapplied to the original sale steam credited on the transaction and are posted in financial </w:t>
            </w:r>
            <w:r w:rsidR="00E95253" w:rsidRPr="00D62793">
              <w:t xml:space="preserve">system in the period of original Booking / Invoicing / Revenue Recognition as applicable to </w:t>
            </w:r>
            <w:r w:rsidR="00067285" w:rsidRPr="00D62793">
              <w:t xml:space="preserve">incentive </w:t>
            </w:r>
            <w:r w:rsidR="00E95253" w:rsidRPr="00D62793">
              <w:t>compensation booking rules</w:t>
            </w:r>
            <w:r w:rsidR="00067285" w:rsidRPr="00D62793">
              <w:t>.</w:t>
            </w:r>
          </w:p>
        </w:tc>
      </w:tr>
      <w:tr w:rsidR="00D62793" w:rsidRPr="00D62793" w14:paraId="64C34B6F" w14:textId="77777777" w:rsidTr="00650483">
        <w:tc>
          <w:tcPr>
            <w:tcW w:w="2178" w:type="dxa"/>
          </w:tcPr>
          <w:p w14:paraId="08B35A08" w14:textId="77777777" w:rsidR="00B65455" w:rsidRPr="00D62793" w:rsidRDefault="00B65455" w:rsidP="00E651AC">
            <w:pPr>
              <w:rPr>
                <w:b/>
              </w:rPr>
            </w:pPr>
            <w:r w:rsidRPr="00D62793">
              <w:rPr>
                <w:b/>
              </w:rPr>
              <w:t>Individualized Compensation Plan</w:t>
            </w:r>
          </w:p>
        </w:tc>
        <w:tc>
          <w:tcPr>
            <w:tcW w:w="7650" w:type="dxa"/>
          </w:tcPr>
          <w:p w14:paraId="6391A066" w14:textId="72C2E94B" w:rsidR="00B65455" w:rsidRPr="00D62793" w:rsidRDefault="00E95253" w:rsidP="00067285">
            <w:r w:rsidRPr="00D62793">
              <w:t xml:space="preserve">The specific compensation agreement </w:t>
            </w:r>
            <w:r w:rsidR="00F138A1" w:rsidRPr="00D62793">
              <w:t>entered by</w:t>
            </w:r>
            <w:r w:rsidRPr="00D62793">
              <w:t xml:space="preserve"> the employee with </w:t>
            </w:r>
            <w:r w:rsidR="00291F9D" w:rsidRPr="00D62793">
              <w:t>COMPANY</w:t>
            </w:r>
            <w:r w:rsidRPr="00D62793">
              <w:t xml:space="preserve"> and which is bound by the </w:t>
            </w:r>
            <w:r w:rsidR="00067285" w:rsidRPr="00D62793">
              <w:t xml:space="preserve">Sales Compensation </w:t>
            </w:r>
            <w:r w:rsidRPr="00D62793">
              <w:t>Terms and Conditions listed in th</w:t>
            </w:r>
            <w:r w:rsidR="00067285" w:rsidRPr="00D62793">
              <w:t>ese T&amp;Cs</w:t>
            </w:r>
            <w:r w:rsidRPr="00D62793">
              <w:t>.</w:t>
            </w:r>
          </w:p>
        </w:tc>
      </w:tr>
      <w:tr w:rsidR="00D62793" w:rsidRPr="00D62793" w14:paraId="30FB2930" w14:textId="77777777" w:rsidTr="00650483">
        <w:tc>
          <w:tcPr>
            <w:tcW w:w="2178" w:type="dxa"/>
          </w:tcPr>
          <w:p w14:paraId="3331CE1F" w14:textId="77777777" w:rsidR="00B65455" w:rsidRPr="00D62793" w:rsidRDefault="00B65455" w:rsidP="00E651AC">
            <w:pPr>
              <w:rPr>
                <w:b/>
              </w:rPr>
            </w:pPr>
            <w:r w:rsidRPr="00D62793">
              <w:rPr>
                <w:b/>
              </w:rPr>
              <w:t>Margin</w:t>
            </w:r>
          </w:p>
        </w:tc>
        <w:tc>
          <w:tcPr>
            <w:tcW w:w="7650" w:type="dxa"/>
          </w:tcPr>
          <w:p w14:paraId="18BD4B37" w14:textId="57C717FF" w:rsidR="00B65455" w:rsidRPr="00D62793" w:rsidRDefault="00E95253" w:rsidP="007F52CA">
            <w:r w:rsidRPr="00D62793">
              <w:t xml:space="preserve">Margin as defined </w:t>
            </w:r>
            <w:r w:rsidR="001D5CFF" w:rsidRPr="00D62793">
              <w:t>is Revenue</w:t>
            </w:r>
            <w:r w:rsidRPr="00D62793">
              <w:t xml:space="preserve"> less costs.</w:t>
            </w:r>
          </w:p>
        </w:tc>
      </w:tr>
      <w:tr w:rsidR="00D62793" w:rsidRPr="00D62793" w14:paraId="35753238" w14:textId="77777777" w:rsidTr="00650483">
        <w:tc>
          <w:tcPr>
            <w:tcW w:w="2178" w:type="dxa"/>
          </w:tcPr>
          <w:p w14:paraId="2E67F6B9" w14:textId="77777777" w:rsidR="00B65455" w:rsidRPr="00D62793" w:rsidRDefault="00B65455" w:rsidP="00E651AC">
            <w:pPr>
              <w:rPr>
                <w:b/>
              </w:rPr>
            </w:pPr>
            <w:r w:rsidRPr="00D62793">
              <w:rPr>
                <w:b/>
              </w:rPr>
              <w:t>On-plan Date</w:t>
            </w:r>
          </w:p>
        </w:tc>
        <w:tc>
          <w:tcPr>
            <w:tcW w:w="7650" w:type="dxa"/>
          </w:tcPr>
          <w:p w14:paraId="6570DA57" w14:textId="647E27E8" w:rsidR="00B65455" w:rsidRPr="00D62793" w:rsidRDefault="00E95253" w:rsidP="00067285">
            <w:pPr>
              <w:rPr>
                <w:i/>
              </w:rPr>
            </w:pPr>
            <w:r w:rsidRPr="00D62793">
              <w:t xml:space="preserve">The start date of the </w:t>
            </w:r>
            <w:r w:rsidR="00067285" w:rsidRPr="00D62793">
              <w:t>Participant’s</w:t>
            </w:r>
            <w:r w:rsidRPr="00D62793">
              <w:t xml:space="preserve"> Sales Plan. </w:t>
            </w:r>
            <w:r w:rsidR="00067285" w:rsidRPr="00D62793">
              <w:t>Participants</w:t>
            </w:r>
            <w:r w:rsidRPr="00D62793">
              <w:t xml:space="preserve"> may go on plan as of the first or the </w:t>
            </w:r>
            <w:r w:rsidR="00067285" w:rsidRPr="00D62793">
              <w:t>sixteenth</w:t>
            </w:r>
            <w:r w:rsidRPr="00D62793">
              <w:t xml:space="preserve"> day of a month.</w:t>
            </w:r>
          </w:p>
        </w:tc>
      </w:tr>
      <w:tr w:rsidR="00D62793" w:rsidRPr="00D62793" w14:paraId="51A604C3" w14:textId="77777777" w:rsidTr="00650483">
        <w:tc>
          <w:tcPr>
            <w:tcW w:w="2178" w:type="dxa"/>
          </w:tcPr>
          <w:p w14:paraId="6C14566C" w14:textId="77777777" w:rsidR="00B65455" w:rsidRPr="00D62793" w:rsidRDefault="00B65455" w:rsidP="00E651AC">
            <w:pPr>
              <w:rPr>
                <w:b/>
              </w:rPr>
            </w:pPr>
            <w:r w:rsidRPr="00D62793">
              <w:rPr>
                <w:b/>
              </w:rPr>
              <w:t>Rebill or Rebilled</w:t>
            </w:r>
          </w:p>
        </w:tc>
        <w:tc>
          <w:tcPr>
            <w:tcW w:w="7650" w:type="dxa"/>
          </w:tcPr>
          <w:p w14:paraId="63446365" w14:textId="61F17F94" w:rsidR="00B65455" w:rsidRPr="00D62793" w:rsidRDefault="00E95253" w:rsidP="00E651AC">
            <w:r w:rsidRPr="00D62793">
              <w:t xml:space="preserve">Rebill of the original transaction following a Credit Memo. Revenue may or may not be </w:t>
            </w:r>
            <w:r w:rsidR="00F138A1" w:rsidRPr="00D62793">
              <w:t>like</w:t>
            </w:r>
            <w:r w:rsidRPr="00D62793">
              <w:t xml:space="preserve"> the original transaction. Sales Credits/Bonuses are reapplied to the original sales team credited on the transaction and are posted to the </w:t>
            </w:r>
            <w:r w:rsidR="00291F9D" w:rsidRPr="00D62793">
              <w:t>COMPANY</w:t>
            </w:r>
            <w:r w:rsidRPr="00D62793">
              <w:t xml:space="preserve"> financial system in the period of the original Booking / Invoicing / Revenue Recognition as applicable to the </w:t>
            </w:r>
            <w:r w:rsidR="00067285" w:rsidRPr="00D62793">
              <w:t xml:space="preserve">incentive </w:t>
            </w:r>
            <w:r w:rsidRPr="00D62793">
              <w:t>compensation booking rules.</w:t>
            </w:r>
          </w:p>
        </w:tc>
      </w:tr>
      <w:tr w:rsidR="00D62793" w:rsidRPr="00D62793" w14:paraId="24554BE5" w14:textId="77777777" w:rsidTr="00650483">
        <w:tc>
          <w:tcPr>
            <w:tcW w:w="2178" w:type="dxa"/>
          </w:tcPr>
          <w:p w14:paraId="69119C55" w14:textId="77777777" w:rsidR="00B65455" w:rsidRPr="00D62793" w:rsidRDefault="00B65455" w:rsidP="00E651AC">
            <w:pPr>
              <w:rPr>
                <w:b/>
              </w:rPr>
            </w:pPr>
            <w:r w:rsidRPr="00D62793">
              <w:rPr>
                <w:b/>
              </w:rPr>
              <w:t>Revenue</w:t>
            </w:r>
          </w:p>
        </w:tc>
        <w:tc>
          <w:tcPr>
            <w:tcW w:w="7650" w:type="dxa"/>
          </w:tcPr>
          <w:p w14:paraId="63A74D81" w14:textId="1D24A406" w:rsidR="00B65455" w:rsidRPr="00D62793" w:rsidRDefault="00E95253" w:rsidP="00BD3C9F">
            <w:r w:rsidRPr="00D62793">
              <w:t xml:space="preserve">Revenue as posted in the </w:t>
            </w:r>
            <w:r w:rsidR="00291F9D" w:rsidRPr="00D62793">
              <w:t>COMPANY</w:t>
            </w:r>
            <w:r w:rsidR="00BD3C9F" w:rsidRPr="00D62793">
              <w:t>’s</w:t>
            </w:r>
            <w:r w:rsidRPr="00D62793">
              <w:t xml:space="preserve"> General Ledger, for </w:t>
            </w:r>
            <w:r w:rsidR="00D9613B" w:rsidRPr="00D62793">
              <w:t xml:space="preserve">the </w:t>
            </w:r>
            <w:r w:rsidRPr="00D62793">
              <w:t xml:space="preserve">relevant products will count as Revenue </w:t>
            </w:r>
            <w:r w:rsidR="00866A1A" w:rsidRPr="00D62793">
              <w:t>for purposes of Sales Credit.</w:t>
            </w:r>
          </w:p>
        </w:tc>
      </w:tr>
      <w:tr w:rsidR="00D62793" w:rsidRPr="00D62793" w14:paraId="7532F40D" w14:textId="77777777" w:rsidTr="00650483">
        <w:tc>
          <w:tcPr>
            <w:tcW w:w="2178" w:type="dxa"/>
          </w:tcPr>
          <w:p w14:paraId="774D5798" w14:textId="77777777" w:rsidR="00B65455" w:rsidRPr="00D62793" w:rsidRDefault="00B65455" w:rsidP="00E651AC">
            <w:pPr>
              <w:rPr>
                <w:b/>
              </w:rPr>
            </w:pPr>
            <w:r w:rsidRPr="00D62793">
              <w:rPr>
                <w:b/>
              </w:rPr>
              <w:t>Sales Credit or Commissionable Sales Credit</w:t>
            </w:r>
          </w:p>
        </w:tc>
        <w:tc>
          <w:tcPr>
            <w:tcW w:w="7650" w:type="dxa"/>
          </w:tcPr>
          <w:p w14:paraId="6D266664" w14:textId="759FDD73" w:rsidR="00B65455" w:rsidRPr="00D62793" w:rsidRDefault="00866A1A" w:rsidP="00067285">
            <w:r w:rsidRPr="00D62793">
              <w:t xml:space="preserve">Credit based upon terms of sale and type of transaction. The receipt of Sales Credit or Commissionable Sales Credit on a transaction does not mean that the employee on the transaction has </w:t>
            </w:r>
            <w:r w:rsidR="00067285" w:rsidRPr="00D62793">
              <w:t xml:space="preserve">fully </w:t>
            </w:r>
            <w:r w:rsidRPr="00D62793">
              <w:t xml:space="preserve">earned any </w:t>
            </w:r>
            <w:r w:rsidR="00067285" w:rsidRPr="00D62793">
              <w:t>incentive compensation</w:t>
            </w:r>
            <w:r w:rsidRPr="00D62793">
              <w:t>.</w:t>
            </w:r>
          </w:p>
        </w:tc>
      </w:tr>
      <w:tr w:rsidR="00D62793" w:rsidRPr="00D62793" w14:paraId="1F59FD31" w14:textId="77777777" w:rsidTr="00650483">
        <w:tc>
          <w:tcPr>
            <w:tcW w:w="2178" w:type="dxa"/>
          </w:tcPr>
          <w:p w14:paraId="3EC97BF4" w14:textId="02B02205" w:rsidR="00B65455" w:rsidRPr="00D62793" w:rsidRDefault="00067285" w:rsidP="00067285">
            <w:pPr>
              <w:rPr>
                <w:b/>
              </w:rPr>
            </w:pPr>
            <w:r w:rsidRPr="00D62793">
              <w:rPr>
                <w:b/>
              </w:rPr>
              <w:t>Bookings</w:t>
            </w:r>
            <w:r w:rsidR="00B65455" w:rsidRPr="00D62793">
              <w:rPr>
                <w:b/>
              </w:rPr>
              <w:t xml:space="preserve"> Target or </w:t>
            </w:r>
            <w:r w:rsidRPr="00D62793">
              <w:rPr>
                <w:b/>
              </w:rPr>
              <w:t>Bookings</w:t>
            </w:r>
            <w:r w:rsidR="00B65455" w:rsidRPr="00D62793">
              <w:rPr>
                <w:b/>
              </w:rPr>
              <w:t xml:space="preserve"> Quota</w:t>
            </w:r>
          </w:p>
        </w:tc>
        <w:tc>
          <w:tcPr>
            <w:tcW w:w="7650" w:type="dxa"/>
          </w:tcPr>
          <w:p w14:paraId="52A50267" w14:textId="77777777" w:rsidR="00B65455" w:rsidRPr="00D62793" w:rsidRDefault="00866A1A" w:rsidP="00E651AC">
            <w:r w:rsidRPr="00D62793">
              <w:t xml:space="preserve">Where applicable, the sales goal set forth in the </w:t>
            </w:r>
            <w:r w:rsidR="00650483" w:rsidRPr="00D62793">
              <w:t>Individualized</w:t>
            </w:r>
            <w:r w:rsidRPr="00D62793">
              <w:t xml:space="preserve"> Compensation Plan.</w:t>
            </w:r>
          </w:p>
        </w:tc>
      </w:tr>
      <w:tr w:rsidR="00D62793" w:rsidRPr="00D62793" w14:paraId="01BB7B78" w14:textId="77777777" w:rsidTr="00650483">
        <w:tc>
          <w:tcPr>
            <w:tcW w:w="2178" w:type="dxa"/>
          </w:tcPr>
          <w:p w14:paraId="5A52F71F" w14:textId="77777777" w:rsidR="00B65455" w:rsidRPr="00D62793" w:rsidRDefault="00B65455" w:rsidP="00E651AC">
            <w:pPr>
              <w:rPr>
                <w:b/>
              </w:rPr>
            </w:pPr>
            <w:r w:rsidRPr="00D62793">
              <w:rPr>
                <w:b/>
              </w:rPr>
              <w:t>SPIF</w:t>
            </w:r>
          </w:p>
        </w:tc>
        <w:tc>
          <w:tcPr>
            <w:tcW w:w="7650" w:type="dxa"/>
          </w:tcPr>
          <w:p w14:paraId="3BDF548D" w14:textId="56FCEA67" w:rsidR="00B65455" w:rsidRPr="00D62793" w:rsidRDefault="00866A1A" w:rsidP="00866A1A">
            <w:r w:rsidRPr="00D62793">
              <w:rPr>
                <w:i/>
              </w:rPr>
              <w:t>Special Promotion Incentive Fund –</w:t>
            </w:r>
            <w:r w:rsidRPr="00D62793">
              <w:t xml:space="preserve"> A SPIF is typically considered a sales </w:t>
            </w:r>
            <w:r w:rsidR="00D117F2" w:rsidRPr="00D62793">
              <w:t>challenge</w:t>
            </w:r>
            <w:r w:rsidRPr="00D62793">
              <w:t xml:space="preserve">, which is utilized to encourage extra selling or delivery effort aimed at specific short-term objectives. </w:t>
            </w:r>
          </w:p>
        </w:tc>
      </w:tr>
      <w:tr w:rsidR="00D62793" w:rsidRPr="00D62793" w14:paraId="35FC442F" w14:textId="77777777" w:rsidTr="00650483">
        <w:tc>
          <w:tcPr>
            <w:tcW w:w="2178" w:type="dxa"/>
          </w:tcPr>
          <w:p w14:paraId="107C60B2" w14:textId="77777777" w:rsidR="004312C6" w:rsidRPr="00D62793" w:rsidRDefault="004312C6" w:rsidP="00E651AC">
            <w:pPr>
              <w:rPr>
                <w:b/>
              </w:rPr>
            </w:pPr>
            <w:r w:rsidRPr="00D62793">
              <w:rPr>
                <w:b/>
              </w:rPr>
              <w:t>Subscription</w:t>
            </w:r>
          </w:p>
        </w:tc>
        <w:tc>
          <w:tcPr>
            <w:tcW w:w="7650" w:type="dxa"/>
          </w:tcPr>
          <w:p w14:paraId="0E9645B1" w14:textId="46415A4C" w:rsidR="004312C6" w:rsidRPr="00D62793" w:rsidRDefault="004312C6" w:rsidP="004312C6">
            <w:r w:rsidRPr="00D62793">
              <w:t xml:space="preserve">A subscription for a fixed set of goods or services, such as access to the </w:t>
            </w:r>
            <w:r w:rsidR="00291F9D" w:rsidRPr="00D62793">
              <w:t>COMPANY</w:t>
            </w:r>
            <w:r w:rsidRPr="00D62793">
              <w:t xml:space="preserve"> Site and Service for a definite </w:t>
            </w:r>
            <w:r w:rsidR="00F138A1" w:rsidRPr="00D62793">
              <w:t>period</w:t>
            </w:r>
            <w:r w:rsidRPr="00D62793">
              <w:t>.</w:t>
            </w:r>
            <w:r w:rsidR="007B4A0D" w:rsidRPr="00D62793">
              <w:t xml:space="preserve"> </w:t>
            </w:r>
            <w:r w:rsidR="00291F9D" w:rsidRPr="00D62793">
              <w:t>COMPANY</w:t>
            </w:r>
            <w:r w:rsidR="007B4A0D" w:rsidRPr="00D62793">
              <w:t xml:space="preserve"> standard </w:t>
            </w:r>
            <w:r w:rsidR="00BD3C9F" w:rsidRPr="00D62793">
              <w:t xml:space="preserve">subscription </w:t>
            </w:r>
            <w:r w:rsidR="007B4A0D" w:rsidRPr="00D62793">
              <w:t>contract term is twelve (12) months.</w:t>
            </w:r>
          </w:p>
        </w:tc>
      </w:tr>
      <w:tr w:rsidR="00D62793" w:rsidRPr="00D62793" w14:paraId="46386B74" w14:textId="77777777" w:rsidTr="00650483">
        <w:tc>
          <w:tcPr>
            <w:tcW w:w="2178" w:type="dxa"/>
          </w:tcPr>
          <w:p w14:paraId="7DED2B80" w14:textId="339809CB" w:rsidR="00BE6415" w:rsidRPr="00D62793" w:rsidRDefault="00BE6415" w:rsidP="00E651AC">
            <w:pPr>
              <w:rPr>
                <w:b/>
              </w:rPr>
            </w:pPr>
            <w:r w:rsidRPr="00D62793">
              <w:rPr>
                <w:b/>
              </w:rPr>
              <w:t>Total Contact Value (TCV)</w:t>
            </w:r>
          </w:p>
        </w:tc>
        <w:tc>
          <w:tcPr>
            <w:tcW w:w="7650" w:type="dxa"/>
          </w:tcPr>
          <w:p w14:paraId="0EAAB6ED" w14:textId="0C80236C" w:rsidR="00BE6415" w:rsidRPr="00D62793" w:rsidRDefault="00BE6415" w:rsidP="00BE6415">
            <w:pPr>
              <w:spacing w:before="100" w:beforeAutospacing="1" w:after="100" w:afterAutospacing="1"/>
              <w:rPr>
                <w:rFonts w:cstheme="minorHAnsi"/>
              </w:rPr>
            </w:pPr>
            <w:r w:rsidRPr="00D62793">
              <w:rPr>
                <w:rFonts w:eastAsia="Times New Roman" w:cstheme="minorHAnsi"/>
                <w:bCs/>
                <w:szCs w:val="24"/>
              </w:rPr>
              <w:t>TCV (total contract value)</w:t>
            </w:r>
            <w:r w:rsidRPr="00D62793">
              <w:rPr>
                <w:rFonts w:eastAsia="Times New Roman" w:cstheme="minorHAnsi"/>
                <w:szCs w:val="24"/>
              </w:rPr>
              <w:t xml:space="preserve"> is the total value of the contract, and can be shorter or longer in duration. TCV includes the value from one-time charges, professional service fees, and ACV.   </w:t>
            </w:r>
          </w:p>
        </w:tc>
      </w:tr>
      <w:tr w:rsidR="00D62793" w:rsidRPr="00D62793" w14:paraId="524F97A5" w14:textId="77777777" w:rsidTr="00650483">
        <w:tc>
          <w:tcPr>
            <w:tcW w:w="2178" w:type="dxa"/>
          </w:tcPr>
          <w:p w14:paraId="29D09159" w14:textId="77777777" w:rsidR="00B65455" w:rsidRPr="00D62793" w:rsidRDefault="00B65455" w:rsidP="00E651AC">
            <w:pPr>
              <w:rPr>
                <w:b/>
              </w:rPr>
            </w:pPr>
            <w:r w:rsidRPr="00D62793">
              <w:rPr>
                <w:b/>
              </w:rPr>
              <w:t>Unanticipated Circumstances</w:t>
            </w:r>
          </w:p>
        </w:tc>
        <w:tc>
          <w:tcPr>
            <w:tcW w:w="7650" w:type="dxa"/>
          </w:tcPr>
          <w:p w14:paraId="4164C7BE" w14:textId="1A6B6413" w:rsidR="00B65455" w:rsidRPr="00D62793" w:rsidRDefault="00866A1A" w:rsidP="00BD3C9F">
            <w:r w:rsidRPr="00D62793">
              <w:t xml:space="preserve">Changed circumstances, and/or circumstances unforeseen or </w:t>
            </w:r>
            <w:r w:rsidR="00650483" w:rsidRPr="00D62793">
              <w:t>unanticipated</w:t>
            </w:r>
            <w:r w:rsidRPr="00D62793">
              <w:t xml:space="preserve"> by </w:t>
            </w:r>
            <w:r w:rsidR="00291F9D" w:rsidRPr="00D62793">
              <w:t>COMPANY</w:t>
            </w:r>
            <w:r w:rsidRPr="00D62793">
              <w:t xml:space="preserve">, relating to sales model, formulas, targets, sales planning, forecasts, pipeline, Plan structure, sales target levels, business climate, market conditions, company strategy, product mapping, deal splits, customer account management </w:t>
            </w:r>
            <w:r w:rsidR="00650483" w:rsidRPr="00D62793">
              <w:t>issues</w:t>
            </w:r>
            <w:r w:rsidRPr="00D62793">
              <w:t xml:space="preserve">, staffing issues, business reorganization or </w:t>
            </w:r>
            <w:r w:rsidR="00650483" w:rsidRPr="00D62793">
              <w:t>restructuring</w:t>
            </w:r>
            <w:r w:rsidRPr="00D62793">
              <w:t>, performance or contributions of salespersons and/or sales teams, policy violation by salesperson</w:t>
            </w:r>
            <w:r w:rsidR="00650483" w:rsidRPr="00D62793">
              <w:t>, termination or transfer, revenue recognition or other accounting policies and/or practices.</w:t>
            </w:r>
          </w:p>
        </w:tc>
      </w:tr>
      <w:tr w:rsidR="00D62793" w:rsidRPr="00D62793" w14:paraId="0C78F817" w14:textId="77777777" w:rsidTr="00650483">
        <w:tc>
          <w:tcPr>
            <w:tcW w:w="2178" w:type="dxa"/>
          </w:tcPr>
          <w:p w14:paraId="527963B1" w14:textId="77777777" w:rsidR="00B65455" w:rsidRPr="00D62793" w:rsidRDefault="00B65455" w:rsidP="00E651AC">
            <w:pPr>
              <w:rPr>
                <w:b/>
              </w:rPr>
            </w:pPr>
            <w:r w:rsidRPr="00D62793">
              <w:rPr>
                <w:b/>
              </w:rPr>
              <w:t>Upon Booking</w:t>
            </w:r>
          </w:p>
        </w:tc>
        <w:tc>
          <w:tcPr>
            <w:tcW w:w="7650" w:type="dxa"/>
          </w:tcPr>
          <w:p w14:paraId="15F25379" w14:textId="61A8FB2B" w:rsidR="00B65455" w:rsidRPr="00D62793" w:rsidRDefault="00650483" w:rsidP="00BD3C9F">
            <w:r w:rsidRPr="00D62793">
              <w:t xml:space="preserve">At the time the transaction </w:t>
            </w:r>
            <w:proofErr w:type="gramStart"/>
            <w:r w:rsidRPr="00D62793">
              <w:t xml:space="preserve">is </w:t>
            </w:r>
            <w:r w:rsidR="00BD3C9F" w:rsidRPr="00D62793">
              <w:t>processed</w:t>
            </w:r>
            <w:proofErr w:type="gramEnd"/>
            <w:r w:rsidR="00BD3C9F" w:rsidRPr="00D62793">
              <w:t xml:space="preserve"> and </w:t>
            </w:r>
            <w:r w:rsidRPr="00D62793">
              <w:t xml:space="preserve">recorded in </w:t>
            </w:r>
            <w:r w:rsidR="00291F9D" w:rsidRPr="00D62793">
              <w:t>COMPANY</w:t>
            </w:r>
            <w:r w:rsidR="00BD3C9F" w:rsidRPr="00D62793">
              <w:t xml:space="preserve">’s </w:t>
            </w:r>
            <w:r w:rsidRPr="00D62793">
              <w:t xml:space="preserve">books, under the terms of the </w:t>
            </w:r>
            <w:r w:rsidR="00BD3C9F" w:rsidRPr="00D62793">
              <w:t>c</w:t>
            </w:r>
            <w:r w:rsidRPr="00D62793">
              <w:t>ompany’s accounting policies, regardless of the timing of Revenue Recognition or invoicing</w:t>
            </w:r>
            <w:r w:rsidR="00BD3C9F" w:rsidRPr="00D62793">
              <w:t>.</w:t>
            </w:r>
          </w:p>
        </w:tc>
      </w:tr>
      <w:tr w:rsidR="00D62793" w:rsidRPr="00D62793" w14:paraId="1DF3B603" w14:textId="77777777" w:rsidTr="00650483">
        <w:tc>
          <w:tcPr>
            <w:tcW w:w="2178" w:type="dxa"/>
          </w:tcPr>
          <w:p w14:paraId="17D24780" w14:textId="77777777" w:rsidR="00B65455" w:rsidRPr="00D62793" w:rsidRDefault="00B65455" w:rsidP="00E651AC">
            <w:pPr>
              <w:rPr>
                <w:b/>
              </w:rPr>
            </w:pPr>
            <w:r w:rsidRPr="00D62793">
              <w:rPr>
                <w:b/>
              </w:rPr>
              <w:t>Upon Invoicing</w:t>
            </w:r>
          </w:p>
        </w:tc>
        <w:tc>
          <w:tcPr>
            <w:tcW w:w="7650" w:type="dxa"/>
          </w:tcPr>
          <w:p w14:paraId="790DB55D" w14:textId="64C23A38" w:rsidR="00B65455" w:rsidRPr="00D62793" w:rsidRDefault="00650483" w:rsidP="00E651AC">
            <w:r w:rsidRPr="00D62793">
              <w:t>At the time the transaction is invoiced, regardless of the timing of Booking or Revenue Recognition</w:t>
            </w:r>
            <w:r w:rsidR="00BD3C9F" w:rsidRPr="00D62793">
              <w:t>.</w:t>
            </w:r>
          </w:p>
        </w:tc>
      </w:tr>
      <w:tr w:rsidR="00D62793" w:rsidRPr="00D62793" w14:paraId="444229E9" w14:textId="77777777" w:rsidTr="00650483">
        <w:tc>
          <w:tcPr>
            <w:tcW w:w="2178" w:type="dxa"/>
          </w:tcPr>
          <w:p w14:paraId="299A4312" w14:textId="77777777" w:rsidR="00B65455" w:rsidRPr="00D62793" w:rsidRDefault="00B65455" w:rsidP="00E651AC">
            <w:pPr>
              <w:rPr>
                <w:b/>
              </w:rPr>
            </w:pPr>
            <w:r w:rsidRPr="00D62793">
              <w:rPr>
                <w:b/>
              </w:rPr>
              <w:lastRenderedPageBreak/>
              <w:t>Upon Revenue Recognition</w:t>
            </w:r>
          </w:p>
        </w:tc>
        <w:tc>
          <w:tcPr>
            <w:tcW w:w="7650" w:type="dxa"/>
          </w:tcPr>
          <w:p w14:paraId="1E0BC2F0" w14:textId="0369C518" w:rsidR="00B65455" w:rsidRPr="00D62793" w:rsidRDefault="00650483" w:rsidP="00BD3C9F">
            <w:r w:rsidRPr="00D62793">
              <w:t xml:space="preserve">At the time Revenue </w:t>
            </w:r>
            <w:proofErr w:type="gramStart"/>
            <w:r w:rsidRPr="00D62793">
              <w:t>is recognized</w:t>
            </w:r>
            <w:proofErr w:type="gramEnd"/>
            <w:r w:rsidRPr="00D62793">
              <w:t xml:space="preserve"> as Revenue in the </w:t>
            </w:r>
            <w:r w:rsidR="00291F9D" w:rsidRPr="00D62793">
              <w:t>COMPANY</w:t>
            </w:r>
            <w:r w:rsidR="00BD3C9F" w:rsidRPr="00D62793">
              <w:t xml:space="preserve">’s </w:t>
            </w:r>
            <w:r w:rsidRPr="00D62793">
              <w:t xml:space="preserve">General Ledger under the terms of the </w:t>
            </w:r>
            <w:r w:rsidR="00BD3C9F" w:rsidRPr="00D62793">
              <w:t>c</w:t>
            </w:r>
            <w:r w:rsidRPr="00D62793">
              <w:t>ompany’s accounting policies, regardless of the timing of booking or Invoicing</w:t>
            </w:r>
            <w:r w:rsidR="00BD3C9F" w:rsidRPr="00D62793">
              <w:t>.</w:t>
            </w:r>
          </w:p>
        </w:tc>
      </w:tr>
      <w:tr w:rsidR="00D62793" w:rsidRPr="00D62793" w14:paraId="6F18B11D" w14:textId="77777777" w:rsidTr="00650483">
        <w:tc>
          <w:tcPr>
            <w:tcW w:w="2178" w:type="dxa"/>
          </w:tcPr>
          <w:p w14:paraId="394E9661" w14:textId="77777777" w:rsidR="00B65455" w:rsidRPr="00D62793" w:rsidRDefault="00B65455" w:rsidP="00E651AC">
            <w:pPr>
              <w:rPr>
                <w:b/>
              </w:rPr>
            </w:pPr>
            <w:r w:rsidRPr="00D62793">
              <w:rPr>
                <w:b/>
              </w:rPr>
              <w:t>VSOE</w:t>
            </w:r>
          </w:p>
        </w:tc>
        <w:tc>
          <w:tcPr>
            <w:tcW w:w="7650" w:type="dxa"/>
          </w:tcPr>
          <w:p w14:paraId="16EBCCB3" w14:textId="7FD32A83" w:rsidR="00B65455" w:rsidRPr="00D62793" w:rsidRDefault="00650483" w:rsidP="00BD3C9F">
            <w:r w:rsidRPr="00D62793">
              <w:t xml:space="preserve">Vendor Specific Objective Evidence of fair value. </w:t>
            </w:r>
            <w:r w:rsidR="00291F9D" w:rsidRPr="00D62793">
              <w:t>COMPANY</w:t>
            </w:r>
            <w:r w:rsidRPr="00D62793">
              <w:t xml:space="preserve"> sells both </w:t>
            </w:r>
            <w:r w:rsidR="00BD3C9F" w:rsidRPr="00D62793">
              <w:t xml:space="preserve">Subscriptions </w:t>
            </w:r>
            <w:r w:rsidRPr="00D62793">
              <w:t xml:space="preserve">and Services; </w:t>
            </w:r>
            <w:r w:rsidR="00F138A1" w:rsidRPr="00D62793">
              <w:t>therefore,</w:t>
            </w:r>
            <w:r w:rsidRPr="00D62793">
              <w:t xml:space="preserve"> the Company must </w:t>
            </w:r>
            <w:proofErr w:type="gramStart"/>
            <w:r w:rsidRPr="00D62793">
              <w:t>demonstrate</w:t>
            </w:r>
            <w:proofErr w:type="gramEnd"/>
            <w:r w:rsidRPr="00D62793">
              <w:t xml:space="preserve"> consistent and fair pricing of </w:t>
            </w:r>
            <w:r w:rsidR="00F138A1" w:rsidRPr="00D62793">
              <w:t>all</w:t>
            </w:r>
            <w:r w:rsidRPr="00D62793">
              <w:t xml:space="preserve"> its services. Sales Credit, Commissions and Bonuses may be subject to </w:t>
            </w:r>
            <w:r w:rsidR="00291F9D" w:rsidRPr="00D62793">
              <w:t>COMPANY</w:t>
            </w:r>
            <w:r w:rsidR="00BD3C9F" w:rsidRPr="00D62793">
              <w:t>’</w:t>
            </w:r>
            <w:r w:rsidRPr="00D62793">
              <w:t>s VSOE policy</w:t>
            </w:r>
          </w:p>
        </w:tc>
      </w:tr>
    </w:tbl>
    <w:p w14:paraId="214F8752" w14:textId="77777777" w:rsidR="006C5F10" w:rsidRPr="00D62793" w:rsidRDefault="006C5F10" w:rsidP="006C5F10">
      <w:pPr>
        <w:rPr>
          <w:rFonts w:asciiTheme="majorHAnsi" w:eastAsiaTheme="majorEastAsia" w:hAnsiTheme="majorHAnsi" w:cstheme="majorBidi"/>
        </w:rPr>
      </w:pPr>
      <w:bookmarkStart w:id="5" w:name="_Toc254258160"/>
      <w:bookmarkStart w:id="6" w:name="_Toc254258352"/>
      <w:bookmarkStart w:id="7" w:name="_Toc254258773"/>
      <w:r w:rsidRPr="00D62793">
        <w:br w:type="page"/>
      </w:r>
    </w:p>
    <w:p w14:paraId="030709EB" w14:textId="77777777" w:rsidR="00E651AC" w:rsidRPr="00D62793" w:rsidRDefault="00C47FA2" w:rsidP="00720BAD">
      <w:pPr>
        <w:pStyle w:val="Heading1"/>
        <w:rPr>
          <w:color w:val="auto"/>
        </w:rPr>
      </w:pPr>
      <w:bookmarkStart w:id="8" w:name="_Toc443472287"/>
      <w:bookmarkStart w:id="9" w:name="_Toc472922360"/>
      <w:r w:rsidRPr="00D62793">
        <w:rPr>
          <w:color w:val="auto"/>
        </w:rPr>
        <w:lastRenderedPageBreak/>
        <w:t>General</w:t>
      </w:r>
      <w:bookmarkEnd w:id="5"/>
      <w:bookmarkEnd w:id="6"/>
      <w:bookmarkEnd w:id="7"/>
      <w:bookmarkEnd w:id="8"/>
      <w:bookmarkEnd w:id="9"/>
    </w:p>
    <w:p w14:paraId="40142788" w14:textId="64EA80C6" w:rsidR="00C47FA2" w:rsidRPr="00D62793" w:rsidRDefault="00C47FA2" w:rsidP="00A6619B">
      <w:pPr>
        <w:jc w:val="both"/>
      </w:pPr>
      <w:r w:rsidRPr="00D62793">
        <w:t xml:space="preserve">The </w:t>
      </w:r>
      <w:r w:rsidR="00BE6415" w:rsidRPr="00D62793">
        <w:t>20</w:t>
      </w:r>
      <w:r w:rsidR="00291F9D" w:rsidRPr="00D62793">
        <w:t>XX</w:t>
      </w:r>
      <w:r w:rsidR="00A6619B" w:rsidRPr="00D62793">
        <w:t xml:space="preserve"> Sales </w:t>
      </w:r>
      <w:r w:rsidRPr="00D62793">
        <w:t xml:space="preserve">Compensation Plan (“Plan”) </w:t>
      </w:r>
      <w:r w:rsidR="002A52D9" w:rsidRPr="00D62793">
        <w:t>consists</w:t>
      </w:r>
      <w:r w:rsidRPr="00D62793">
        <w:t xml:space="preserve"> of (1) this document (the “</w:t>
      </w:r>
      <w:r w:rsidR="00BE6415" w:rsidRPr="00D62793">
        <w:t>FY</w:t>
      </w:r>
      <w:r w:rsidR="00291F9D" w:rsidRPr="00D62793">
        <w:t>XX</w:t>
      </w:r>
      <w:r w:rsidR="00A6619B" w:rsidRPr="00D62793">
        <w:t xml:space="preserve"> Sales </w:t>
      </w:r>
      <w:r w:rsidRPr="00D62793">
        <w:t xml:space="preserve">Compensation Terms and Conditions”) including relevant Appendices and (2) the applicable Individualized Compensation Plan document. </w:t>
      </w:r>
      <w:r w:rsidR="002A52D9" w:rsidRPr="00D62793">
        <w:t>References to “the Company” or “</w:t>
      </w:r>
      <w:r w:rsidR="00291F9D" w:rsidRPr="00D62793">
        <w:t>COMPANY</w:t>
      </w:r>
      <w:r w:rsidR="002A52D9" w:rsidRPr="00D62793">
        <w:t>” are</w:t>
      </w:r>
      <w:r w:rsidRPr="00D62793">
        <w:t xml:space="preserve"> to </w:t>
      </w:r>
      <w:r w:rsidR="00291F9D" w:rsidRPr="00D62793">
        <w:t>COMPANY</w:t>
      </w:r>
      <w:r w:rsidRPr="00D62793">
        <w:t xml:space="preserve"> </w:t>
      </w:r>
      <w:r w:rsidR="00291F9D" w:rsidRPr="00D62793">
        <w:t>LEGAL NAME</w:t>
      </w:r>
      <w:r w:rsidRPr="00D62793">
        <w:t>. Signature of the Individualized Compensation Plan, either electronically or in writing, and/or acceptance of any payments under the Plan, and/or performance of any work in a position covered by the Plan, indicates acceptance of the Plan. The provisions and definitions or these Terms and Conditions govern the administration of the Plan.</w:t>
      </w:r>
    </w:p>
    <w:p w14:paraId="603D57DC" w14:textId="67BD59C6" w:rsidR="00C47FA2" w:rsidRPr="00D62793" w:rsidRDefault="001F3E26" w:rsidP="00A6619B">
      <w:pPr>
        <w:jc w:val="both"/>
      </w:pPr>
      <w:r w:rsidRPr="00D62793">
        <w:t xml:space="preserve">These Compensation Terms and Conditions and the Individualized Compensation Plan cover transactions during the Fiscal Year from January 1, </w:t>
      </w:r>
      <w:r w:rsidR="00BE6415" w:rsidRPr="00D62793">
        <w:t>20</w:t>
      </w:r>
      <w:r w:rsidR="00291F9D" w:rsidRPr="00D62793">
        <w:t>XX</w:t>
      </w:r>
      <w:r w:rsidRPr="00D62793">
        <w:t xml:space="preserve"> through December 31, </w:t>
      </w:r>
      <w:r w:rsidR="00BE6415" w:rsidRPr="00D62793">
        <w:t>20</w:t>
      </w:r>
      <w:r w:rsidR="00291F9D" w:rsidRPr="00D62793">
        <w:t>XX</w:t>
      </w:r>
      <w:r w:rsidRPr="00D62793">
        <w:t>.</w:t>
      </w:r>
    </w:p>
    <w:p w14:paraId="2C608065" w14:textId="77777777" w:rsidR="001F3E26" w:rsidRPr="00D62793" w:rsidRDefault="001F3E26" w:rsidP="00C47FA2">
      <w:pPr>
        <w:rPr>
          <w:b/>
        </w:rPr>
      </w:pPr>
      <w:r w:rsidRPr="00D62793">
        <w:rPr>
          <w:b/>
        </w:rPr>
        <w:t>The Company agrees:</w:t>
      </w:r>
    </w:p>
    <w:p w14:paraId="0D2A64A2" w14:textId="77777777" w:rsidR="001F3E26" w:rsidRPr="00D62793" w:rsidRDefault="001F3E26" w:rsidP="001F3E26">
      <w:pPr>
        <w:pStyle w:val="ListParagraph"/>
        <w:numPr>
          <w:ilvl w:val="0"/>
          <w:numId w:val="2"/>
        </w:numPr>
      </w:pPr>
      <w:r w:rsidRPr="00D62793">
        <w:t>To pay incentive compensation under the terms and conditions of the Plan.</w:t>
      </w:r>
    </w:p>
    <w:p w14:paraId="2E634856" w14:textId="77777777" w:rsidR="001F3E26" w:rsidRPr="00D62793" w:rsidRDefault="001F3E26" w:rsidP="001F3E26">
      <w:pPr>
        <w:rPr>
          <w:b/>
        </w:rPr>
      </w:pPr>
      <w:r w:rsidRPr="00D62793">
        <w:rPr>
          <w:b/>
        </w:rPr>
        <w:t>The employee agrees:</w:t>
      </w:r>
    </w:p>
    <w:p w14:paraId="31DAC889" w14:textId="77777777" w:rsidR="001F3E26" w:rsidRPr="00D62793" w:rsidRDefault="001F3E26" w:rsidP="00A6619B">
      <w:pPr>
        <w:pStyle w:val="ListParagraph"/>
        <w:numPr>
          <w:ilvl w:val="0"/>
          <w:numId w:val="2"/>
        </w:numPr>
        <w:jc w:val="both"/>
      </w:pPr>
      <w:r w:rsidRPr="00D62793">
        <w:t>To accept as full incentive compensation the compensation under the Plan.</w:t>
      </w:r>
    </w:p>
    <w:p w14:paraId="314BF993" w14:textId="0889033F" w:rsidR="001F3E26" w:rsidRPr="00D62793" w:rsidRDefault="001F3E26" w:rsidP="00A6619B">
      <w:pPr>
        <w:pStyle w:val="ListParagraph"/>
        <w:numPr>
          <w:ilvl w:val="0"/>
          <w:numId w:val="2"/>
        </w:numPr>
        <w:jc w:val="both"/>
      </w:pPr>
      <w:r w:rsidRPr="00D62793">
        <w:t>To abide by published Company policies including these T</w:t>
      </w:r>
      <w:r w:rsidR="00A6619B" w:rsidRPr="00D62793">
        <w:t>&amp;Cs</w:t>
      </w:r>
      <w:r w:rsidRPr="00D62793">
        <w:t xml:space="preserve">, </w:t>
      </w:r>
      <w:r w:rsidR="00291F9D" w:rsidRPr="00D62793">
        <w:t>COMPANY</w:t>
      </w:r>
      <w:r w:rsidRPr="00D62793">
        <w:t xml:space="preserve">’s Code of Ethics, the </w:t>
      </w:r>
      <w:r w:rsidR="00291F9D" w:rsidRPr="00D62793">
        <w:t>COMPANY</w:t>
      </w:r>
      <w:r w:rsidRPr="00D62793">
        <w:t xml:space="preserve"> Proprietary Disclosure Agreement</w:t>
      </w:r>
      <w:r w:rsidR="007F52CA" w:rsidRPr="00D62793">
        <w:t xml:space="preserve">, the </w:t>
      </w:r>
      <w:r w:rsidR="00291F9D" w:rsidRPr="00D62793">
        <w:t>COMPANY</w:t>
      </w:r>
      <w:r w:rsidR="007F52CA" w:rsidRPr="00D62793">
        <w:t xml:space="preserve"> Employee handbook</w:t>
      </w:r>
      <w:r w:rsidRPr="00D62793">
        <w:t xml:space="preserve"> and other employment and/or financial guidelines.</w:t>
      </w:r>
    </w:p>
    <w:p w14:paraId="4AB25305" w14:textId="2B5A3F29" w:rsidR="001F3E26" w:rsidRPr="00D62793" w:rsidRDefault="001F3E26" w:rsidP="00A6619B">
      <w:pPr>
        <w:pStyle w:val="ListParagraph"/>
        <w:numPr>
          <w:ilvl w:val="0"/>
          <w:numId w:val="2"/>
        </w:numPr>
        <w:jc w:val="both"/>
      </w:pPr>
      <w:r w:rsidRPr="00D62793">
        <w:t xml:space="preserve">To </w:t>
      </w:r>
      <w:hyperlink r:id="rId8" w:anchor="definition-of-commission" w:history="1">
        <w:r w:rsidRPr="00D62793">
          <w:rPr>
            <w:rStyle w:val="Hyperlink"/>
            <w:color w:val="auto"/>
          </w:rPr>
          <w:t>repay</w:t>
        </w:r>
      </w:hyperlink>
      <w:r w:rsidRPr="00D62793">
        <w:t xml:space="preserve"> advances against compensation that is not offset by compensation earned.</w:t>
      </w:r>
    </w:p>
    <w:p w14:paraId="3627BFC2" w14:textId="77777777" w:rsidR="00DC0131" w:rsidRPr="00D62793" w:rsidRDefault="00DC0131" w:rsidP="00720BAD">
      <w:pPr>
        <w:pStyle w:val="Heading1"/>
        <w:rPr>
          <w:color w:val="auto"/>
        </w:rPr>
      </w:pPr>
      <w:bookmarkStart w:id="10" w:name="_Toc254258161"/>
      <w:bookmarkStart w:id="11" w:name="_Toc254258353"/>
      <w:bookmarkStart w:id="12" w:name="_Toc254258774"/>
      <w:bookmarkStart w:id="13" w:name="_Toc443472288"/>
      <w:bookmarkStart w:id="14" w:name="_Toc472922361"/>
      <w:r w:rsidRPr="00D62793">
        <w:rPr>
          <w:rStyle w:val="Heading1Char"/>
          <w:b/>
          <w:bCs/>
          <w:color w:val="auto"/>
        </w:rPr>
        <w:t>Administration</w:t>
      </w:r>
      <w:r w:rsidRPr="00D62793">
        <w:rPr>
          <w:color w:val="auto"/>
        </w:rPr>
        <w:t xml:space="preserve"> and Approvals</w:t>
      </w:r>
      <w:bookmarkEnd w:id="10"/>
      <w:bookmarkEnd w:id="11"/>
      <w:bookmarkEnd w:id="12"/>
      <w:bookmarkEnd w:id="13"/>
      <w:bookmarkEnd w:id="14"/>
    </w:p>
    <w:p w14:paraId="2DF44042" w14:textId="77777777" w:rsidR="0069291B" w:rsidRPr="00D62793" w:rsidRDefault="00DC0131" w:rsidP="00720BAD">
      <w:pPr>
        <w:pStyle w:val="Heading4"/>
        <w:rPr>
          <w:color w:val="auto"/>
        </w:rPr>
      </w:pPr>
      <w:r w:rsidRPr="00D62793">
        <w:rPr>
          <w:color w:val="auto"/>
        </w:rPr>
        <w:t>Interpretation of the Plan/Changes to the Plan</w:t>
      </w:r>
    </w:p>
    <w:p w14:paraId="0E51E218" w14:textId="77777777" w:rsidR="00DC0131" w:rsidRPr="00D62793" w:rsidRDefault="00DC0131" w:rsidP="00A6619B">
      <w:pPr>
        <w:ind w:left="720"/>
        <w:jc w:val="both"/>
      </w:pPr>
      <w:bookmarkStart w:id="15" w:name="_Hlk55487293"/>
      <w:r w:rsidRPr="00D62793">
        <w:t xml:space="preserve">The Chairman, CEO, and/or his designees, shall have final responsibility, authority and discretion in all matters of design, administration and interpretation of </w:t>
      </w:r>
      <w:r w:rsidR="002A52D9" w:rsidRPr="00D62793">
        <w:t>the Plan</w:t>
      </w:r>
      <w:r w:rsidRPr="00D62793">
        <w:t>.</w:t>
      </w:r>
    </w:p>
    <w:p w14:paraId="765B7C72" w14:textId="4FBC55B3" w:rsidR="00DC0131" w:rsidRPr="00D62793" w:rsidRDefault="00DC0131" w:rsidP="00A6619B">
      <w:pPr>
        <w:ind w:left="720"/>
        <w:jc w:val="both"/>
      </w:pPr>
      <w:r w:rsidRPr="00D62793">
        <w:t xml:space="preserve">The Company reserves the right in its sole discretion to adjust, modify or change the Individualized Compensation Plan and/or these </w:t>
      </w:r>
      <w:r w:rsidR="00A6619B" w:rsidRPr="00D62793">
        <w:t xml:space="preserve">T&amp;Cs, </w:t>
      </w:r>
      <w:r w:rsidRPr="00D62793">
        <w:t xml:space="preserve">either during or after the close of the fiscal year, including but not limited to making such adjustments, modifications of change, </w:t>
      </w:r>
      <w:r w:rsidR="00F138A1" w:rsidRPr="00D62793">
        <w:t>for</w:t>
      </w:r>
      <w:r w:rsidRPr="00D62793">
        <w:t xml:space="preserve"> addressing Administrative Errors and/or Unanticipated Circumstances.</w:t>
      </w:r>
    </w:p>
    <w:bookmarkEnd w:id="15"/>
    <w:p w14:paraId="2EC2176D" w14:textId="2D9D2809" w:rsidR="00DC0131" w:rsidRPr="00D62793" w:rsidRDefault="00DC0131" w:rsidP="00A6619B">
      <w:pPr>
        <w:ind w:left="720"/>
        <w:jc w:val="both"/>
      </w:pPr>
      <w:r w:rsidRPr="00D62793">
        <w:t xml:space="preserve">Adjustments, modifications and changes may be made to Sales Credits, Commission Rates, Sales Target, Sales Thresholds, Bonus or SPIFF’s, and may result in a decrease or an increase in </w:t>
      </w:r>
      <w:r w:rsidR="00A6619B" w:rsidRPr="00D62793">
        <w:t xml:space="preserve">incentive </w:t>
      </w:r>
      <w:r w:rsidRPr="00D62793">
        <w:t xml:space="preserve">compensation. Such modification </w:t>
      </w:r>
      <w:r w:rsidR="00F138A1" w:rsidRPr="00D62793">
        <w:t>is</w:t>
      </w:r>
      <w:r w:rsidRPr="00D62793">
        <w:t xml:space="preserve"> valid only if approved by the CEO or his designee through the applicable approval process. A new Individualized Compensation Plan need not be issued to the employee </w:t>
      </w:r>
      <w:r w:rsidR="00F138A1" w:rsidRPr="00D62793">
        <w:t>for</w:t>
      </w:r>
      <w:r w:rsidRPr="00D62793">
        <w:t xml:space="preserve"> any such modifications under the Plan to be binding on the employee.</w:t>
      </w:r>
    </w:p>
    <w:p w14:paraId="67098DBB" w14:textId="7B8ECE2B" w:rsidR="00EC7D13" w:rsidRPr="00D62793" w:rsidRDefault="00DC0131" w:rsidP="00A6619B">
      <w:pPr>
        <w:ind w:left="720"/>
        <w:jc w:val="both"/>
      </w:pPr>
      <w:r w:rsidRPr="00D62793">
        <w:t xml:space="preserve">Salespersons </w:t>
      </w:r>
      <w:r w:rsidRPr="00D62793">
        <w:rPr>
          <w:b/>
          <w:bCs/>
        </w:rPr>
        <w:t xml:space="preserve">do not earn </w:t>
      </w:r>
      <w:r w:rsidR="00A6619B" w:rsidRPr="00D62793">
        <w:rPr>
          <w:b/>
          <w:bCs/>
        </w:rPr>
        <w:t>incentive compensation</w:t>
      </w:r>
      <w:r w:rsidR="00A6619B" w:rsidRPr="00D62793">
        <w:t xml:space="preserve"> </w:t>
      </w:r>
      <w:r w:rsidRPr="00D62793">
        <w:t xml:space="preserve">until the Company makes </w:t>
      </w:r>
      <w:r w:rsidR="00F138A1" w:rsidRPr="00D62793">
        <w:t>all</w:t>
      </w:r>
      <w:r w:rsidRPr="00D62793">
        <w:t xml:space="preserve"> final determinations and adjustments, modifications or changes </w:t>
      </w:r>
      <w:r w:rsidR="00A57307" w:rsidRPr="00D62793">
        <w:t xml:space="preserve">described above, and until the Company has been paid in full by the Customer on the applicable transaction(s). Any payment </w:t>
      </w:r>
      <w:r w:rsidR="00A57307" w:rsidRPr="00D62793">
        <w:lastRenderedPageBreak/>
        <w:t xml:space="preserve">made to the salesperson under the Plan before the salesperson has earned such payment </w:t>
      </w:r>
      <w:r w:rsidR="00BF6ED8" w:rsidRPr="00D62793">
        <w:t xml:space="preserve">is not Earned until all the criteria described in the T&amp;Cs are achieved, including payment in full for the Booking. All advanced incentive compensation </w:t>
      </w:r>
      <w:r w:rsidR="00F138A1" w:rsidRPr="00D62793">
        <w:t>is</w:t>
      </w:r>
      <w:r w:rsidR="00BF6ED8" w:rsidRPr="00D62793">
        <w:t xml:space="preserve"> subject to repayment by the Participant or offset against future compensation.</w:t>
      </w:r>
    </w:p>
    <w:p w14:paraId="748F36AB" w14:textId="77777777" w:rsidR="00EC7D13" w:rsidRPr="00D62793" w:rsidRDefault="00EC7D13" w:rsidP="00720BAD">
      <w:pPr>
        <w:pStyle w:val="Heading4"/>
        <w:rPr>
          <w:color w:val="auto"/>
        </w:rPr>
      </w:pPr>
      <w:r w:rsidRPr="00D62793">
        <w:rPr>
          <w:color w:val="auto"/>
        </w:rPr>
        <w:t>No Employment Agreement</w:t>
      </w:r>
    </w:p>
    <w:p w14:paraId="35312200" w14:textId="50C44D6D" w:rsidR="00EC7D13" w:rsidRPr="00D62793" w:rsidRDefault="00EC7D13" w:rsidP="00BF6ED8">
      <w:pPr>
        <w:ind w:left="720"/>
        <w:jc w:val="both"/>
      </w:pPr>
      <w:r w:rsidRPr="00D62793">
        <w:t xml:space="preserve">This Plan is not intended to and shall not be </w:t>
      </w:r>
      <w:r w:rsidR="0069291B" w:rsidRPr="00D62793">
        <w:t>construed</w:t>
      </w:r>
      <w:r w:rsidRPr="00D62793">
        <w:t xml:space="preserve"> to create or imply a guarantee of employment for any specific </w:t>
      </w:r>
      <w:r w:rsidR="00F138A1" w:rsidRPr="00D62793">
        <w:t>period</w:t>
      </w:r>
      <w:r w:rsidRPr="00D62793">
        <w:t xml:space="preserve">. Nothing in this Plan shall </w:t>
      </w:r>
      <w:proofErr w:type="gramStart"/>
      <w:r w:rsidR="0069291B" w:rsidRPr="00D62793">
        <w:t>modify</w:t>
      </w:r>
      <w:proofErr w:type="gramEnd"/>
      <w:r w:rsidR="0069291B" w:rsidRPr="00D62793">
        <w:t>, limit</w:t>
      </w:r>
      <w:r w:rsidRPr="00D62793">
        <w:t xml:space="preserve"> or restrict the applicable terms and conditions of the employment between </w:t>
      </w:r>
      <w:r w:rsidR="00291F9D" w:rsidRPr="00D62793">
        <w:t>COMPANY</w:t>
      </w:r>
      <w:r w:rsidRPr="00D62793">
        <w:t xml:space="preserve"> and the employee. Plans in subsequent fiscal quarters or fiscal years will not necessarily have any </w:t>
      </w:r>
      <w:r w:rsidR="0069291B" w:rsidRPr="00D62793">
        <w:t>similarity</w:t>
      </w:r>
      <w:r w:rsidRPr="00D62793">
        <w:t xml:space="preserve"> to those of prior fiscal quarter or fiscal years, but will reflect the Company’s </w:t>
      </w:r>
      <w:r w:rsidR="0069291B" w:rsidRPr="00D62793">
        <w:t>anticipated</w:t>
      </w:r>
      <w:r w:rsidRPr="00D62793">
        <w:t xml:space="preserve"> business objectives for the forthcoming fiscal period. No </w:t>
      </w:r>
      <w:r w:rsidR="0069291B" w:rsidRPr="00D62793">
        <w:t>Plan, unless</w:t>
      </w:r>
      <w:r w:rsidRPr="00D62793">
        <w:t xml:space="preserve"> otherwise approved by the Chairman, CEO and/or his designee, is valid for </w:t>
      </w:r>
      <w:r w:rsidR="00BF6ED8" w:rsidRPr="00D62793">
        <w:t xml:space="preserve">incentive compensation including </w:t>
      </w:r>
      <w:r w:rsidRPr="00D62793">
        <w:t>Sales Credit, Commissions, and/or Bonuses beyond the fiscal year in which the Plan was issued.</w:t>
      </w:r>
    </w:p>
    <w:p w14:paraId="38F238C9" w14:textId="77777777" w:rsidR="0069291B" w:rsidRPr="00D62793" w:rsidRDefault="00EC7D13" w:rsidP="00720BAD">
      <w:pPr>
        <w:pStyle w:val="Heading4"/>
        <w:rPr>
          <w:color w:val="auto"/>
        </w:rPr>
      </w:pPr>
      <w:r w:rsidRPr="00D62793">
        <w:rPr>
          <w:color w:val="auto"/>
        </w:rPr>
        <w:t>Individual Compensation Statements</w:t>
      </w:r>
    </w:p>
    <w:p w14:paraId="3F79483E" w14:textId="0DAE88EF" w:rsidR="00EC7D13" w:rsidRPr="00D62793" w:rsidRDefault="00EC7D13" w:rsidP="00BF6ED8">
      <w:pPr>
        <w:ind w:left="720"/>
        <w:jc w:val="both"/>
      </w:pPr>
      <w:r w:rsidRPr="00D62793">
        <w:t xml:space="preserve">Individual </w:t>
      </w:r>
      <w:r w:rsidR="0069291B" w:rsidRPr="00D62793">
        <w:t>statement of payments is</w:t>
      </w:r>
      <w:r w:rsidRPr="00D62793">
        <w:t xml:space="preserve"> made available in hard and soft copy to </w:t>
      </w:r>
      <w:r w:rsidR="0069291B" w:rsidRPr="00D62793">
        <w:t>coincide</w:t>
      </w:r>
      <w:r w:rsidRPr="00D62793">
        <w:t xml:space="preserve"> with the </w:t>
      </w:r>
      <w:r w:rsidR="00BF6ED8" w:rsidRPr="00D62793">
        <w:t xml:space="preserve">incentive compensation </w:t>
      </w:r>
      <w:r w:rsidRPr="00D62793">
        <w:t xml:space="preserve">payment. Upon receipt of the </w:t>
      </w:r>
      <w:r w:rsidR="00925ABB" w:rsidRPr="00D62793">
        <w:t>Participant’s</w:t>
      </w:r>
      <w:r w:rsidRPr="00D62793">
        <w:t xml:space="preserve"> statement, an</w:t>
      </w:r>
      <w:r w:rsidR="00BF6ED8" w:rsidRPr="00D62793">
        <w:t>y</w:t>
      </w:r>
      <w:r w:rsidRPr="00D62793">
        <w:t xml:space="preserve"> </w:t>
      </w:r>
      <w:r w:rsidR="002A52D9" w:rsidRPr="00D62793">
        <w:t>discrepancies</w:t>
      </w:r>
      <w:r w:rsidRPr="00D62793">
        <w:t xml:space="preserve"> must be brought to the attention of the </w:t>
      </w:r>
      <w:r w:rsidR="00F1399A" w:rsidRPr="00D62793">
        <w:t>TITLE OF PLAN ADMINISTRATOR</w:t>
      </w:r>
      <w:r w:rsidRPr="00D62793">
        <w:t xml:space="preserve"> </w:t>
      </w:r>
      <w:r w:rsidR="00BF6ED8" w:rsidRPr="00D62793">
        <w:t xml:space="preserve">within </w:t>
      </w:r>
      <w:r w:rsidR="007F52CA" w:rsidRPr="00D62793">
        <w:t>30</w:t>
      </w:r>
      <w:r w:rsidR="00BF6ED8" w:rsidRPr="00D62793">
        <w:t xml:space="preserve"> days of issuance of such statement </w:t>
      </w:r>
      <w:r w:rsidRPr="00D62793">
        <w:t>so that they may be promptly resolved.</w:t>
      </w:r>
    </w:p>
    <w:p w14:paraId="2AD54878" w14:textId="77777777" w:rsidR="00EC7D13" w:rsidRPr="00D62793" w:rsidRDefault="0069291B" w:rsidP="00720BAD">
      <w:pPr>
        <w:pStyle w:val="Heading4"/>
        <w:rPr>
          <w:color w:val="auto"/>
        </w:rPr>
      </w:pPr>
      <w:r w:rsidRPr="00D62793">
        <w:rPr>
          <w:color w:val="auto"/>
        </w:rPr>
        <w:t>Approvals</w:t>
      </w:r>
    </w:p>
    <w:p w14:paraId="5349E42E" w14:textId="7A31D3A6" w:rsidR="0069291B" w:rsidRPr="00D62793" w:rsidRDefault="0069291B" w:rsidP="00BF6ED8">
      <w:pPr>
        <w:ind w:left="720"/>
        <w:jc w:val="both"/>
      </w:pPr>
      <w:r w:rsidRPr="00D62793">
        <w:t xml:space="preserve">Products and/or Services available for </w:t>
      </w:r>
      <w:r w:rsidR="00BF6ED8" w:rsidRPr="00D62793">
        <w:t>incentive compensation</w:t>
      </w:r>
      <w:r w:rsidRPr="00D62793">
        <w:t xml:space="preserve"> </w:t>
      </w:r>
      <w:proofErr w:type="gramStart"/>
      <w:r w:rsidRPr="00D62793">
        <w:t>are limited</w:t>
      </w:r>
      <w:proofErr w:type="gramEnd"/>
      <w:r w:rsidRPr="00D62793">
        <w:t xml:space="preserve"> to products and/or services that are available on the </w:t>
      </w:r>
      <w:r w:rsidR="00291F9D" w:rsidRPr="00D62793">
        <w:t>COMPANY</w:t>
      </w:r>
      <w:r w:rsidRPr="00D62793">
        <w:t xml:space="preserve"> current published price list. All exceptions to the </w:t>
      </w:r>
      <w:r w:rsidR="002A52D9" w:rsidRPr="00D62793">
        <w:t>preceding</w:t>
      </w:r>
      <w:r w:rsidRPr="00D62793">
        <w:t xml:space="preserve"> must be approved by the Company’s CEO</w:t>
      </w:r>
      <w:r w:rsidR="00307127" w:rsidRPr="00D62793">
        <w:t xml:space="preserve"> and/or his designee</w:t>
      </w:r>
      <w:r w:rsidRPr="00D62793">
        <w:t xml:space="preserve">. A sale not made in accordance </w:t>
      </w:r>
      <w:r w:rsidR="00BF6ED8" w:rsidRPr="00D62793">
        <w:t>with</w:t>
      </w:r>
      <w:r w:rsidRPr="00D62793">
        <w:t xml:space="preserve"> these conditions, a sale of unauthorized products, or a sale made pursuant to non-standard terms and conditions, including but not limited to unapproved pricing or unauthorized payments terms, side letters or discounts will not be a valid sale under the Plan</w:t>
      </w:r>
      <w:r w:rsidR="007A3692" w:rsidRPr="00D62793">
        <w:t xml:space="preserve">. Each Participant will be responsible to complete a Booking </w:t>
      </w:r>
      <w:r w:rsidR="00F1399A" w:rsidRPr="00D62793">
        <w:t xml:space="preserve">Contract </w:t>
      </w:r>
      <w:r w:rsidR="007A3692" w:rsidRPr="00D62793">
        <w:t xml:space="preserve">Compliance </w:t>
      </w:r>
      <w:r w:rsidR="00F1399A" w:rsidRPr="00D62793">
        <w:t>Form</w:t>
      </w:r>
      <w:r w:rsidR="007A3692" w:rsidRPr="00D62793">
        <w:t xml:space="preserve"> (BC</w:t>
      </w:r>
      <w:r w:rsidR="00F1399A" w:rsidRPr="00D62793">
        <w:t>CF</w:t>
      </w:r>
      <w:r w:rsidR="007A3692" w:rsidRPr="00D62793">
        <w:t xml:space="preserve">) for all orders documenting all variance to published sales guidelines. Any invalid sales </w:t>
      </w:r>
      <w:r w:rsidRPr="00D62793">
        <w:t xml:space="preserve">will result in non-payment or recovery of </w:t>
      </w:r>
      <w:r w:rsidR="00BF6ED8" w:rsidRPr="00D62793">
        <w:t>incentive compensation</w:t>
      </w:r>
      <w:r w:rsidRPr="00D62793">
        <w:t xml:space="preserve"> and the reversal of Sales and/or Bonus credit.</w:t>
      </w:r>
    </w:p>
    <w:p w14:paraId="54C3A894" w14:textId="77777777" w:rsidR="0069291B" w:rsidRPr="00D62793" w:rsidRDefault="00217DCF" w:rsidP="00720BAD">
      <w:pPr>
        <w:pStyle w:val="Heading4"/>
        <w:rPr>
          <w:color w:val="auto"/>
        </w:rPr>
      </w:pPr>
      <w:r w:rsidRPr="00D62793">
        <w:rPr>
          <w:color w:val="auto"/>
        </w:rPr>
        <w:t>Commissions/Bonuses Outside of Plan</w:t>
      </w:r>
    </w:p>
    <w:p w14:paraId="712716DF" w14:textId="45CA49C0" w:rsidR="00217DCF" w:rsidRPr="00D62793" w:rsidRDefault="00BF6ED8" w:rsidP="00BF6ED8">
      <w:pPr>
        <w:ind w:left="720"/>
        <w:jc w:val="both"/>
      </w:pPr>
      <w:r w:rsidRPr="00D62793">
        <w:t>Plan Participants</w:t>
      </w:r>
      <w:r w:rsidR="00217DCF" w:rsidRPr="00D62793">
        <w:t xml:space="preserve"> may be eligible to receive </w:t>
      </w:r>
      <w:r w:rsidRPr="00D62793">
        <w:t>incentive compensation</w:t>
      </w:r>
      <w:r w:rsidR="00217DCF" w:rsidRPr="00D62793">
        <w:t xml:space="preserve"> and/or SPIF credit for new annuity, additional annuity and/or services, and/or Bonus components during the fiscal quarter or fiscal year under established guidelines in which case they will receive separate written notification.</w:t>
      </w:r>
    </w:p>
    <w:p w14:paraId="03A55271" w14:textId="7C7C1381" w:rsidR="00217DCF" w:rsidRPr="00D62793" w:rsidRDefault="00217DCF" w:rsidP="00720BAD">
      <w:pPr>
        <w:pStyle w:val="Heading4"/>
        <w:rPr>
          <w:color w:val="auto"/>
        </w:rPr>
      </w:pPr>
      <w:r w:rsidRPr="00D62793">
        <w:rPr>
          <w:color w:val="auto"/>
        </w:rPr>
        <w:t xml:space="preserve">Advances Against </w:t>
      </w:r>
      <w:r w:rsidR="00BF6ED8" w:rsidRPr="00D62793">
        <w:rPr>
          <w:color w:val="auto"/>
        </w:rPr>
        <w:t xml:space="preserve">Incentive </w:t>
      </w:r>
      <w:r w:rsidRPr="00D62793">
        <w:rPr>
          <w:color w:val="auto"/>
        </w:rPr>
        <w:t>Compensation</w:t>
      </w:r>
    </w:p>
    <w:p w14:paraId="78585C0A" w14:textId="3FAD4DDF" w:rsidR="00217DCF" w:rsidRPr="00D62793" w:rsidRDefault="00217DCF" w:rsidP="00BF6ED8">
      <w:pPr>
        <w:ind w:left="720"/>
        <w:jc w:val="both"/>
      </w:pPr>
      <w:r w:rsidRPr="00D62793">
        <w:t xml:space="preserve">Advances Against </w:t>
      </w:r>
      <w:r w:rsidR="00BF6ED8" w:rsidRPr="00D62793">
        <w:t xml:space="preserve">Incentive </w:t>
      </w:r>
      <w:r w:rsidRPr="00D62793">
        <w:t xml:space="preserve">Compensation may result in the employee incurring a negative compensation balance, where advanced </w:t>
      </w:r>
      <w:r w:rsidR="00BF6ED8" w:rsidRPr="00D62793">
        <w:t xml:space="preserve">incentive compensation </w:t>
      </w:r>
      <w:r w:rsidRPr="00D62793">
        <w:t xml:space="preserve">exceeds </w:t>
      </w:r>
      <w:r w:rsidR="00BF6ED8" w:rsidRPr="00D62793">
        <w:t>earned incentive compensation</w:t>
      </w:r>
      <w:r w:rsidRPr="00D62793">
        <w:t xml:space="preserve">. </w:t>
      </w:r>
      <w:r w:rsidR="00BF6ED8" w:rsidRPr="00D62793">
        <w:t>Incentive compensation will not be advanced to a Participant</w:t>
      </w:r>
      <w:r w:rsidR="002A52D9" w:rsidRPr="00D62793">
        <w:t xml:space="preserve"> who have incurred a negative balance, until </w:t>
      </w:r>
      <w:r w:rsidR="00BF6ED8" w:rsidRPr="00D62793">
        <w:t>the incentive compensation is no longer negative</w:t>
      </w:r>
      <w:r w:rsidRPr="00D62793">
        <w:t xml:space="preserve">. The Company </w:t>
      </w:r>
      <w:r w:rsidRPr="00D62793">
        <w:lastRenderedPageBreak/>
        <w:t>reserves the right to rec</w:t>
      </w:r>
      <w:r w:rsidR="002A52D9" w:rsidRPr="00D62793">
        <w:t xml:space="preserve">over all Advances Against </w:t>
      </w:r>
      <w:r w:rsidR="00BF6ED8" w:rsidRPr="00D62793">
        <w:t xml:space="preserve">Incentive </w:t>
      </w:r>
      <w:r w:rsidR="002A52D9" w:rsidRPr="00D62793">
        <w:t xml:space="preserve">Compensation that are not fully offset against earned </w:t>
      </w:r>
      <w:r w:rsidR="00BF6ED8" w:rsidRPr="00D62793">
        <w:t>incentive compensation</w:t>
      </w:r>
      <w:r w:rsidR="002A52D9" w:rsidRPr="00D62793">
        <w:t xml:space="preserve">. Only the Chairman, CEO, and/or his designee </w:t>
      </w:r>
      <w:r w:rsidR="003C7757" w:rsidRPr="00D62793">
        <w:t>are</w:t>
      </w:r>
      <w:r w:rsidR="002A52D9" w:rsidRPr="00D62793">
        <w:t xml:space="preserve"> authorized to </w:t>
      </w:r>
      <w:r w:rsidR="00BF6ED8" w:rsidRPr="00D62793">
        <w:t xml:space="preserve">consider and </w:t>
      </w:r>
      <w:r w:rsidR="002A52D9" w:rsidRPr="00D62793">
        <w:t>forgive</w:t>
      </w:r>
      <w:r w:rsidR="00BF6ED8" w:rsidRPr="00D62793">
        <w:t>ness</w:t>
      </w:r>
      <w:r w:rsidR="002A52D9" w:rsidRPr="00D62793">
        <w:t xml:space="preserve"> </w:t>
      </w:r>
      <w:r w:rsidR="00BF6ED8" w:rsidRPr="00D62793">
        <w:t xml:space="preserve">of </w:t>
      </w:r>
      <w:r w:rsidR="002A52D9" w:rsidRPr="00D62793">
        <w:t xml:space="preserve">Advances Against </w:t>
      </w:r>
      <w:r w:rsidR="00BF6ED8" w:rsidRPr="00D62793">
        <w:t xml:space="preserve">Incentive </w:t>
      </w:r>
      <w:r w:rsidR="002A52D9" w:rsidRPr="00D62793">
        <w:t>Compensation.</w:t>
      </w:r>
    </w:p>
    <w:p w14:paraId="70CFE52A" w14:textId="77777777" w:rsidR="002A52D9" w:rsidRPr="00D62793" w:rsidRDefault="002A52D9" w:rsidP="00720BAD">
      <w:pPr>
        <w:pStyle w:val="Heading4"/>
        <w:rPr>
          <w:color w:val="auto"/>
        </w:rPr>
      </w:pPr>
      <w:r w:rsidRPr="00D62793">
        <w:rPr>
          <w:color w:val="auto"/>
        </w:rPr>
        <w:t>Plan is Confidential</w:t>
      </w:r>
    </w:p>
    <w:p w14:paraId="72976E12" w14:textId="0DFC9E99" w:rsidR="002A52D9" w:rsidRPr="00D62793" w:rsidRDefault="002A52D9" w:rsidP="00BF6ED8">
      <w:pPr>
        <w:ind w:left="720"/>
        <w:jc w:val="both"/>
      </w:pPr>
      <w:r w:rsidRPr="00D62793">
        <w:t xml:space="preserve">This Plan constitutes highly confidential and proprietary information of </w:t>
      </w:r>
      <w:r w:rsidR="00291F9D" w:rsidRPr="00D62793">
        <w:t>COMPANY</w:t>
      </w:r>
      <w:r w:rsidRPr="00D62793">
        <w:t xml:space="preserve">. As such, all employees must keep the Plan confidential in accordance with the </w:t>
      </w:r>
      <w:r w:rsidR="00291F9D" w:rsidRPr="00D62793">
        <w:t>COMPANY</w:t>
      </w:r>
      <w:r w:rsidRPr="00D62793">
        <w:t xml:space="preserve"> Non-Disclosure Information Agreement and are expressly prohibited from disclosing this Plan or any of its contents to any third party without </w:t>
      </w:r>
      <w:r w:rsidR="00291F9D" w:rsidRPr="00D62793">
        <w:t>COMPANY</w:t>
      </w:r>
      <w:r w:rsidRPr="00D62793">
        <w:t xml:space="preserve">’s </w:t>
      </w:r>
      <w:r w:rsidR="007F52CA" w:rsidRPr="00D62793">
        <w:t>CEO</w:t>
      </w:r>
      <w:r w:rsidR="00BF6ED8" w:rsidRPr="00D62793">
        <w:t xml:space="preserve"> </w:t>
      </w:r>
      <w:r w:rsidRPr="00D62793">
        <w:t>advanced written consent, unless compelled by local law.</w:t>
      </w:r>
    </w:p>
    <w:p w14:paraId="3666A572" w14:textId="77777777" w:rsidR="002A52D9" w:rsidRPr="00D62793" w:rsidRDefault="00AB6C83" w:rsidP="00720BAD">
      <w:pPr>
        <w:pStyle w:val="Heading1"/>
        <w:rPr>
          <w:color w:val="auto"/>
        </w:rPr>
      </w:pPr>
      <w:bookmarkStart w:id="16" w:name="_Toc254258162"/>
      <w:bookmarkStart w:id="17" w:name="_Toc254258354"/>
      <w:bookmarkStart w:id="18" w:name="_Toc254258775"/>
      <w:bookmarkStart w:id="19" w:name="_Toc443472289"/>
      <w:bookmarkStart w:id="20" w:name="_Toc472922362"/>
      <w:r w:rsidRPr="00D62793">
        <w:rPr>
          <w:color w:val="auto"/>
        </w:rPr>
        <w:t>Commissions</w:t>
      </w:r>
      <w:r w:rsidR="002A52D9" w:rsidRPr="00D62793">
        <w:rPr>
          <w:color w:val="auto"/>
        </w:rPr>
        <w:t>, Sales Credits and Bonuses</w:t>
      </w:r>
      <w:bookmarkEnd w:id="16"/>
      <w:bookmarkEnd w:id="17"/>
      <w:bookmarkEnd w:id="18"/>
      <w:bookmarkEnd w:id="19"/>
      <w:bookmarkEnd w:id="20"/>
    </w:p>
    <w:p w14:paraId="1AE5D877" w14:textId="6491930B" w:rsidR="002B40CB" w:rsidRPr="00D62793" w:rsidRDefault="002A52D9" w:rsidP="00230518">
      <w:pPr>
        <w:ind w:left="720"/>
        <w:jc w:val="both"/>
      </w:pPr>
      <w:r w:rsidRPr="00D62793">
        <w:rPr>
          <w:b/>
        </w:rPr>
        <w:t>NOTE</w:t>
      </w:r>
      <w:r w:rsidRPr="00D62793">
        <w:t xml:space="preserve">: </w:t>
      </w:r>
      <w:r w:rsidR="00BF6ED8" w:rsidRPr="00D62793">
        <w:t>Incentive compensation</w:t>
      </w:r>
      <w:r w:rsidRPr="00D62793">
        <w:t xml:space="preserve"> will be based on </w:t>
      </w:r>
      <w:r w:rsidR="00291F9D" w:rsidRPr="00D62793">
        <w:t>COMPANY</w:t>
      </w:r>
      <w:r w:rsidR="002B40CB" w:rsidRPr="00D62793">
        <w:t xml:space="preserve">’s </w:t>
      </w:r>
      <w:r w:rsidR="00BF6ED8" w:rsidRPr="00D62793">
        <w:t xml:space="preserve">processing of Bookings which typically translates into </w:t>
      </w:r>
      <w:r w:rsidR="002B40CB" w:rsidRPr="00D62793">
        <w:t xml:space="preserve">revenue recognized. </w:t>
      </w:r>
      <w:r w:rsidR="00291F9D" w:rsidRPr="00D62793">
        <w:t>COMPANY</w:t>
      </w:r>
      <w:r w:rsidR="002B40CB" w:rsidRPr="00D62793">
        <w:t xml:space="preserve">’s revenues will be based upon applying </w:t>
      </w:r>
      <w:r w:rsidR="00AE1DF4" w:rsidRPr="00D62793">
        <w:t xml:space="preserve">ASC 606 for United States transactions and </w:t>
      </w:r>
      <w:r w:rsidR="00F138A1" w:rsidRPr="00D62793">
        <w:t>IFRS 15</w:t>
      </w:r>
      <w:r w:rsidR="00AE1DF4" w:rsidRPr="00D62793">
        <w:t xml:space="preserve"> for all non-Untied States transactions</w:t>
      </w:r>
    </w:p>
    <w:p w14:paraId="7EADFCBB" w14:textId="77777777" w:rsidR="002A52D9" w:rsidRPr="00D62793" w:rsidRDefault="004312C6" w:rsidP="00720BAD">
      <w:pPr>
        <w:pStyle w:val="Heading4"/>
        <w:rPr>
          <w:color w:val="auto"/>
        </w:rPr>
      </w:pPr>
      <w:r w:rsidRPr="00D62793">
        <w:rPr>
          <w:color w:val="auto"/>
        </w:rPr>
        <w:t>Compensation Rates</w:t>
      </w:r>
      <w:r w:rsidR="002B40CB" w:rsidRPr="00D62793">
        <w:rPr>
          <w:color w:val="auto"/>
        </w:rPr>
        <w:t xml:space="preserve"> and Sales Threshold</w:t>
      </w:r>
    </w:p>
    <w:p w14:paraId="73C59847" w14:textId="1226E31D" w:rsidR="002B40CB" w:rsidRPr="00D62793" w:rsidRDefault="00AB6C83" w:rsidP="002B40CB">
      <w:pPr>
        <w:ind w:left="720"/>
      </w:pPr>
      <w:r w:rsidRPr="00D62793">
        <w:t>Commission</w:t>
      </w:r>
      <w:r w:rsidR="002B40CB" w:rsidRPr="00D62793">
        <w:t xml:space="preserve"> rate(s) set forth in the applicable Individualized Compensation Plan, is (are) established on an individual basis</w:t>
      </w:r>
      <w:r w:rsidR="00230518" w:rsidRPr="00D62793">
        <w:t>.</w:t>
      </w:r>
    </w:p>
    <w:p w14:paraId="7E6FCFDA" w14:textId="5DC4DE94" w:rsidR="00AB6C83" w:rsidRPr="00D62793" w:rsidRDefault="002B40CB" w:rsidP="00230518">
      <w:pPr>
        <w:ind w:left="720"/>
        <w:jc w:val="both"/>
      </w:pPr>
      <w:r w:rsidRPr="00D62793">
        <w:t xml:space="preserve">The </w:t>
      </w:r>
      <w:r w:rsidR="00AB6C83" w:rsidRPr="00D62793">
        <w:t>Individualized</w:t>
      </w:r>
      <w:r w:rsidRPr="00D62793">
        <w:t xml:space="preserve"> Compensation Plan may or may not have a </w:t>
      </w:r>
      <w:r w:rsidR="00027C83" w:rsidRPr="00D62793">
        <w:t>TCV</w:t>
      </w:r>
      <w:r w:rsidRPr="00D62793">
        <w:t xml:space="preserve"> Threshold. The Sales Threshold</w:t>
      </w:r>
      <w:r w:rsidR="00230518" w:rsidRPr="00D62793">
        <w:t>,</w:t>
      </w:r>
      <w:r w:rsidRPr="00D62793">
        <w:t xml:space="preserve"> if applicable</w:t>
      </w:r>
      <w:r w:rsidR="00230518" w:rsidRPr="00D62793">
        <w:t>,</w:t>
      </w:r>
      <w:r w:rsidRPr="00D62793">
        <w:t xml:space="preserve"> may or may not be divided into </w:t>
      </w:r>
      <w:r w:rsidR="00027C83" w:rsidRPr="00D62793">
        <w:t>TCV</w:t>
      </w:r>
      <w:r w:rsidRPr="00D62793">
        <w:t xml:space="preserve"> tier as shown on the Individualized Compensation Plan. Under such circumstances, each tier </w:t>
      </w:r>
      <w:r w:rsidR="00027C83" w:rsidRPr="00D62793">
        <w:t>may have</w:t>
      </w:r>
      <w:r w:rsidRPr="00D62793">
        <w:t xml:space="preserve"> an associated Commission Rate. </w:t>
      </w:r>
      <w:r w:rsidR="00AB6C83" w:rsidRPr="00D62793">
        <w:t>Commissions are</w:t>
      </w:r>
      <w:r w:rsidRPr="00D62793">
        <w:t xml:space="preserve"> calculated on </w:t>
      </w:r>
      <w:r w:rsidR="00027C83" w:rsidRPr="00D62793">
        <w:t>each individual contract value that is booked in the applicable period</w:t>
      </w:r>
      <w:r w:rsidRPr="00D62793">
        <w:t xml:space="preserve"> versus the </w:t>
      </w:r>
      <w:r w:rsidR="00027C83" w:rsidRPr="00D62793">
        <w:t>Annualized ACV</w:t>
      </w:r>
      <w:r w:rsidRPr="00D62793">
        <w:t xml:space="preserve"> Threshold set </w:t>
      </w:r>
      <w:r w:rsidR="00AB6C83" w:rsidRPr="00D62793">
        <w:t>out</w:t>
      </w:r>
      <w:r w:rsidRPr="00D62793">
        <w:t xml:space="preserve"> in the </w:t>
      </w:r>
      <w:r w:rsidR="00AB6C83" w:rsidRPr="00D62793">
        <w:t>Individualized</w:t>
      </w:r>
      <w:r w:rsidRPr="00D62793">
        <w:t xml:space="preserve"> Compensation Plan</w:t>
      </w:r>
      <w:r w:rsidR="00AB6C83" w:rsidRPr="00D62793">
        <w:t xml:space="preserve"> starting with the lowest tier. Generally, each</w:t>
      </w:r>
      <w:r w:rsidR="00027C83" w:rsidRPr="00D62793">
        <w:t xml:space="preserve"> contract</w:t>
      </w:r>
      <w:r w:rsidR="00AB6C83" w:rsidRPr="00D62793">
        <w:t xml:space="preserve"> tier </w:t>
      </w:r>
      <w:r w:rsidR="00027C83" w:rsidRPr="00D62793">
        <w:t xml:space="preserve">is computed </w:t>
      </w:r>
      <w:r w:rsidR="00F138A1" w:rsidRPr="00D62793">
        <w:t>individually</w:t>
      </w:r>
      <w:r w:rsidR="00027C83" w:rsidRPr="00D62793">
        <w:t xml:space="preserve"> and not on the annualized value</w:t>
      </w:r>
      <w:r w:rsidRPr="00D62793">
        <w:t xml:space="preserve"> </w:t>
      </w:r>
      <w:r w:rsidR="00AB6C83" w:rsidRPr="00D62793">
        <w:t>if</w:t>
      </w:r>
      <w:r w:rsidRPr="00D62793">
        <w:t xml:space="preserve"> </w:t>
      </w:r>
      <w:r w:rsidR="00AB6C83" w:rsidRPr="00D62793">
        <w:t>applicable.</w:t>
      </w:r>
    </w:p>
    <w:p w14:paraId="2C1970F5" w14:textId="2A3919C5" w:rsidR="00571478" w:rsidRPr="00D62793" w:rsidRDefault="00571478" w:rsidP="00720BAD">
      <w:pPr>
        <w:pStyle w:val="Heading4"/>
        <w:rPr>
          <w:color w:val="auto"/>
        </w:rPr>
      </w:pPr>
      <w:r w:rsidRPr="00D62793">
        <w:rPr>
          <w:color w:val="auto"/>
        </w:rPr>
        <w:t>Compensation Rates and Annual Contact Value</w:t>
      </w:r>
    </w:p>
    <w:p w14:paraId="670F347A" w14:textId="77777777" w:rsidR="00571478" w:rsidRPr="00D62793" w:rsidRDefault="00571478" w:rsidP="00571478">
      <w:pPr>
        <w:ind w:left="720"/>
      </w:pPr>
      <w:r w:rsidRPr="00D62793">
        <w:t>Commission rate(s) set forth in the applicable Individualized Compensation Plan, is (are) established on an individual basis.</w:t>
      </w:r>
    </w:p>
    <w:p w14:paraId="4D5D257B" w14:textId="51E8D3C4" w:rsidR="00571478" w:rsidRPr="00D62793" w:rsidRDefault="00571478" w:rsidP="00571478">
      <w:pPr>
        <w:ind w:left="720"/>
        <w:jc w:val="both"/>
      </w:pPr>
      <w:r w:rsidRPr="00D62793">
        <w:t>The Individualized Compensation Plan may or may not have a Total Contact Value. The TCV, if applicable, may or may not be divided into other performance elements as shown on the Individualized Compensation Plan. Under such circumstances, each element has an associated Commission Rate. Commissions are calculated o</w:t>
      </w:r>
      <w:r w:rsidR="00027C83" w:rsidRPr="00D62793">
        <w:t>n the</w:t>
      </w:r>
      <w:r w:rsidRPr="00D62793">
        <w:t xml:space="preserve"> Bookings Credit of one element against either the TCV or the Annuity Bookable. Generally, each the element must be surpassed before calculation is made against the TCV or Annuity Bookable if applicable.</w:t>
      </w:r>
    </w:p>
    <w:p w14:paraId="2285EC56" w14:textId="77777777" w:rsidR="002B40CB" w:rsidRPr="00D62793" w:rsidRDefault="00AB6C83" w:rsidP="00720BAD">
      <w:pPr>
        <w:pStyle w:val="Heading4"/>
        <w:rPr>
          <w:color w:val="auto"/>
        </w:rPr>
      </w:pPr>
      <w:r w:rsidRPr="00D62793">
        <w:rPr>
          <w:color w:val="auto"/>
        </w:rPr>
        <w:t>Splits</w:t>
      </w:r>
    </w:p>
    <w:p w14:paraId="06C868C0" w14:textId="62997669" w:rsidR="00AB6C83" w:rsidRPr="00D62793" w:rsidRDefault="00F8536D" w:rsidP="00230518">
      <w:pPr>
        <w:ind w:left="720"/>
        <w:jc w:val="both"/>
      </w:pPr>
      <w:r w:rsidRPr="00D62793">
        <w:t xml:space="preserve">Any Commission splits other than those outlined in these </w:t>
      </w:r>
      <w:r w:rsidR="00230518" w:rsidRPr="00D62793">
        <w:t>T&amp;Cs</w:t>
      </w:r>
      <w:r w:rsidRPr="00D62793">
        <w:t xml:space="preserve"> require the approval of the CEO or his designee through the applicable approval process. The total </w:t>
      </w:r>
      <w:r w:rsidR="00230518" w:rsidRPr="00D62793">
        <w:t>Bookings</w:t>
      </w:r>
      <w:r w:rsidRPr="00D62793">
        <w:t xml:space="preserve"> Credit </w:t>
      </w:r>
      <w:r w:rsidR="00230518" w:rsidRPr="00D62793">
        <w:t xml:space="preserve">and the associated incentive compensation </w:t>
      </w:r>
      <w:r w:rsidRPr="00D62793">
        <w:t xml:space="preserve">allocated </w:t>
      </w:r>
      <w:r w:rsidR="00230518" w:rsidRPr="00D62793">
        <w:t>to all the Participants</w:t>
      </w:r>
      <w:r w:rsidRPr="00D62793">
        <w:t xml:space="preserve"> will not exceed 100%. </w:t>
      </w:r>
    </w:p>
    <w:p w14:paraId="0254F334" w14:textId="77777777" w:rsidR="00F8536D" w:rsidRPr="00D62793" w:rsidRDefault="00F8536D" w:rsidP="00720BAD">
      <w:pPr>
        <w:pStyle w:val="Heading4"/>
        <w:rPr>
          <w:color w:val="auto"/>
        </w:rPr>
      </w:pPr>
      <w:r w:rsidRPr="00D62793">
        <w:rPr>
          <w:color w:val="auto"/>
        </w:rPr>
        <w:lastRenderedPageBreak/>
        <w:t>Teaming Agreements</w:t>
      </w:r>
    </w:p>
    <w:p w14:paraId="1002B4CF" w14:textId="58545A05" w:rsidR="00F8536D" w:rsidRPr="00D62793" w:rsidRDefault="00F8536D" w:rsidP="00230518">
      <w:pPr>
        <w:ind w:left="720"/>
        <w:jc w:val="both"/>
      </w:pPr>
      <w:r w:rsidRPr="00D62793">
        <w:t xml:space="preserve">Teaming Agreements occur when </w:t>
      </w:r>
      <w:r w:rsidR="00DA176F" w:rsidRPr="00D62793">
        <w:t>significant</w:t>
      </w:r>
      <w:r w:rsidRPr="00D62793">
        <w:t xml:space="preserve"> </w:t>
      </w:r>
      <w:r w:rsidR="00DA176F" w:rsidRPr="00D62793">
        <w:t xml:space="preserve">sales resources from another organization </w:t>
      </w:r>
      <w:proofErr w:type="gramStart"/>
      <w:r w:rsidR="00DA176F" w:rsidRPr="00D62793">
        <w:t>are</w:t>
      </w:r>
      <w:r w:rsidRPr="00D62793">
        <w:t xml:space="preserve"> used</w:t>
      </w:r>
      <w:proofErr w:type="gramEnd"/>
      <w:r w:rsidRPr="00D62793">
        <w:t xml:space="preserve"> to help </w:t>
      </w:r>
      <w:r w:rsidR="00291F9D" w:rsidRPr="00D62793">
        <w:t>COMPANY</w:t>
      </w:r>
      <w:r w:rsidRPr="00D62793">
        <w:t xml:space="preserve"> close a transaction. In those </w:t>
      </w:r>
      <w:r w:rsidR="00F138A1" w:rsidRPr="00D62793">
        <w:t>cases,</w:t>
      </w:r>
      <w:r w:rsidRPr="00D62793">
        <w:t xml:space="preserve"> </w:t>
      </w:r>
      <w:r w:rsidR="00291F9D" w:rsidRPr="00D62793">
        <w:t>COMPANY</w:t>
      </w:r>
      <w:r w:rsidRPr="00D62793">
        <w:t xml:space="preserve"> and the other organization</w:t>
      </w:r>
      <w:r w:rsidR="00DA176F" w:rsidRPr="00D62793">
        <w:t xml:space="preserve"> may agree to non-standard revenue split to compensate either organization for </w:t>
      </w:r>
      <w:proofErr w:type="gramStart"/>
      <w:r w:rsidR="00DA176F" w:rsidRPr="00D62793">
        <w:t>providing</w:t>
      </w:r>
      <w:proofErr w:type="gramEnd"/>
      <w:r w:rsidR="00DA176F" w:rsidRPr="00D62793">
        <w:t xml:space="preserve"> sales assistance. Any Teaming Agreements other than those outlined in these </w:t>
      </w:r>
      <w:r w:rsidR="00230518" w:rsidRPr="00D62793">
        <w:t>T&amp;Cs</w:t>
      </w:r>
      <w:r w:rsidR="00DA176F" w:rsidRPr="00D62793">
        <w:t xml:space="preserve"> require the approval of the CEO or his designee through the applicable approval process.</w:t>
      </w:r>
    </w:p>
    <w:p w14:paraId="52DF3567" w14:textId="77777777" w:rsidR="0069291B" w:rsidRPr="00D62793" w:rsidRDefault="00DA176F" w:rsidP="00720BAD">
      <w:pPr>
        <w:pStyle w:val="Heading4"/>
        <w:rPr>
          <w:color w:val="auto"/>
        </w:rPr>
      </w:pPr>
      <w:r w:rsidRPr="00D62793">
        <w:rPr>
          <w:rStyle w:val="Heading4Char"/>
          <w:i/>
          <w:iCs/>
          <w:color w:val="auto"/>
        </w:rPr>
        <w:t>Bonus</w:t>
      </w:r>
      <w:r w:rsidRPr="00D62793">
        <w:rPr>
          <w:color w:val="auto"/>
        </w:rPr>
        <w:t xml:space="preserve"> Calculation</w:t>
      </w:r>
    </w:p>
    <w:p w14:paraId="581096D8" w14:textId="77777777" w:rsidR="00DA176F" w:rsidRPr="00D62793" w:rsidRDefault="00DA176F" w:rsidP="00230518">
      <w:pPr>
        <w:ind w:left="720"/>
        <w:jc w:val="both"/>
      </w:pPr>
      <w:r w:rsidRPr="00D62793">
        <w:t>Bonuses are calculated based on the Bonus rate shown on the applicable Individualized Compensation Plan or in accordance with any provisions described therein.</w:t>
      </w:r>
    </w:p>
    <w:p w14:paraId="0F77C1ED" w14:textId="77777777" w:rsidR="00DA176F" w:rsidRPr="00D62793" w:rsidRDefault="00DA176F" w:rsidP="00720BAD">
      <w:pPr>
        <w:pStyle w:val="Heading4"/>
        <w:rPr>
          <w:color w:val="auto"/>
        </w:rPr>
      </w:pPr>
      <w:r w:rsidRPr="00D62793">
        <w:rPr>
          <w:color w:val="auto"/>
        </w:rPr>
        <w:t>SPIF’s</w:t>
      </w:r>
    </w:p>
    <w:p w14:paraId="00575254" w14:textId="3DD1D72A" w:rsidR="0028598D" w:rsidRPr="00D62793" w:rsidRDefault="0028598D" w:rsidP="00230518">
      <w:pPr>
        <w:ind w:left="720"/>
        <w:jc w:val="both"/>
      </w:pPr>
      <w:r w:rsidRPr="00D62793">
        <w:t xml:space="preserve">Special Bonuses/Incentives (SPIF) may be </w:t>
      </w:r>
      <w:r w:rsidR="004312C6" w:rsidRPr="00D62793">
        <w:t>declared</w:t>
      </w:r>
      <w:r w:rsidRPr="00D62793">
        <w:t xml:space="preserve"> for such amounts, at such times, and for such periods as the Company may in its soles </w:t>
      </w:r>
      <w:r w:rsidR="004312C6" w:rsidRPr="00D62793">
        <w:t>discretion</w:t>
      </w:r>
      <w:r w:rsidRPr="00D62793">
        <w:t xml:space="preserve"> decide. Applicable rules for such incentive programs will be published </w:t>
      </w:r>
      <w:r w:rsidR="004312C6" w:rsidRPr="00D62793">
        <w:t>separately</w:t>
      </w:r>
      <w:r w:rsidRPr="00D62793">
        <w:t>, and are subject to the</w:t>
      </w:r>
      <w:r w:rsidR="00230518" w:rsidRPr="00D62793">
        <w:t>se T&amp;Cs</w:t>
      </w:r>
      <w:r w:rsidRPr="00D62793">
        <w:t xml:space="preserve">. </w:t>
      </w:r>
      <w:r w:rsidR="003C7757" w:rsidRPr="00D62793">
        <w:t xml:space="preserve">To qualify for such SPIF’s the </w:t>
      </w:r>
      <w:r w:rsidR="00230518" w:rsidRPr="00D62793">
        <w:t>Participant</w:t>
      </w:r>
      <w:r w:rsidR="003C7757" w:rsidRPr="00D62793">
        <w:t xml:space="preserve"> must be employed by </w:t>
      </w:r>
      <w:r w:rsidR="00291F9D" w:rsidRPr="00D62793">
        <w:t>COMPANY</w:t>
      </w:r>
      <w:r w:rsidR="003C7757" w:rsidRPr="00D62793">
        <w:t xml:space="preserve"> on the last business day of the applicable </w:t>
      </w:r>
      <w:r w:rsidR="00230518" w:rsidRPr="00D62793">
        <w:t>SPIF</w:t>
      </w:r>
      <w:r w:rsidR="003C7757" w:rsidRPr="00D62793">
        <w:t xml:space="preserve"> period. </w:t>
      </w:r>
      <w:r w:rsidRPr="00D62793">
        <w:t xml:space="preserve">In no circumstances has the Company conferred any right to continued employment </w:t>
      </w:r>
      <w:r w:rsidR="00F138A1" w:rsidRPr="00D62793">
        <w:t>to</w:t>
      </w:r>
      <w:r w:rsidRPr="00D62793">
        <w:t xml:space="preserve"> qualify for any Special Bonus/Incentive.</w:t>
      </w:r>
    </w:p>
    <w:p w14:paraId="555B3236" w14:textId="19771A6B" w:rsidR="00AD306F" w:rsidRPr="00D62793" w:rsidRDefault="00AD306F" w:rsidP="00AD306F">
      <w:pPr>
        <w:pStyle w:val="Heading4"/>
        <w:rPr>
          <w:color w:val="auto"/>
        </w:rPr>
      </w:pPr>
      <w:r w:rsidRPr="00D62793">
        <w:rPr>
          <w:color w:val="auto"/>
        </w:rPr>
        <w:t xml:space="preserve">Third Party </w:t>
      </w:r>
      <w:r w:rsidR="0028736A" w:rsidRPr="00D62793">
        <w:rPr>
          <w:color w:val="auto"/>
        </w:rPr>
        <w:t>Bonus</w:t>
      </w:r>
    </w:p>
    <w:p w14:paraId="542BBA3A" w14:textId="42C25401" w:rsidR="0028736A" w:rsidRPr="00D62793" w:rsidRDefault="0028736A" w:rsidP="0028736A">
      <w:pPr>
        <w:ind w:left="720"/>
      </w:pPr>
      <w:r w:rsidRPr="00D62793">
        <w:t xml:space="preserve">Participant shall </w:t>
      </w:r>
      <w:proofErr w:type="gramStart"/>
      <w:r w:rsidRPr="00D62793">
        <w:t>submit</w:t>
      </w:r>
      <w:proofErr w:type="gramEnd"/>
      <w:r w:rsidRPr="00D62793">
        <w:t xml:space="preserve"> appropriate documentation of </w:t>
      </w:r>
      <w:r w:rsidR="00F138A1" w:rsidRPr="00D62793">
        <w:t>all</w:t>
      </w:r>
      <w:r w:rsidRPr="00D62793">
        <w:t xml:space="preserve"> sales sold to </w:t>
      </w:r>
      <w:r w:rsidR="00F1399A" w:rsidRPr="00D62793">
        <w:t>a</w:t>
      </w:r>
      <w:r w:rsidRPr="00D62793">
        <w:t xml:space="preserve"> </w:t>
      </w:r>
      <w:r w:rsidR="00291F9D" w:rsidRPr="00D62793">
        <w:t>COMPANY</w:t>
      </w:r>
      <w:r w:rsidRPr="00D62793">
        <w:t xml:space="preserve"> </w:t>
      </w:r>
      <w:r w:rsidR="00F1399A" w:rsidRPr="00D62793">
        <w:t xml:space="preserve">LEGAL NAME </w:t>
      </w:r>
      <w:r w:rsidRPr="00D62793">
        <w:t>(“</w:t>
      </w:r>
      <w:r w:rsidR="00291F9D" w:rsidRPr="00D62793">
        <w:t>COMPANY</w:t>
      </w:r>
      <w:r w:rsidRPr="00D62793">
        <w:t>”) end-user of all 3</w:t>
      </w:r>
      <w:r w:rsidRPr="00D62793">
        <w:rPr>
          <w:vertAlign w:val="superscript"/>
        </w:rPr>
        <w:t>rd</w:t>
      </w:r>
      <w:r w:rsidRPr="00D62793">
        <w:t xml:space="preserve"> party products. For each 3rd Party Quotation as arranged by the </w:t>
      </w:r>
      <w:r w:rsidR="00291F9D" w:rsidRPr="00D62793">
        <w:t>COMPANY</w:t>
      </w:r>
      <w:r w:rsidRPr="00D62793">
        <w:t xml:space="preserve">’s Account Executive of such products, The Account Executive shall be entitled to a bonus payment as follows: 90% of the net revenue provided to </w:t>
      </w:r>
      <w:r w:rsidR="00291F9D" w:rsidRPr="00D62793">
        <w:t>COMPANY</w:t>
      </w:r>
      <w:r w:rsidRPr="00D62793">
        <w:t xml:space="preserve"> by such 3rd Party. The rates and time periods set forth in this paragraph shall commence as of the date of the 3</w:t>
      </w:r>
      <w:r w:rsidRPr="00D62793">
        <w:rPr>
          <w:vertAlign w:val="superscript"/>
        </w:rPr>
        <w:t>rd</w:t>
      </w:r>
      <w:r w:rsidRPr="00D62793">
        <w:t xml:space="preserve"> Parties first invoice on the contract to the end-user; provided, however that no commission will be due and payable to Account Executive until (</w:t>
      </w:r>
      <w:r w:rsidR="001A6C3E" w:rsidRPr="00D62793">
        <w:t>30)</w:t>
      </w:r>
      <w:r w:rsidRPr="00D62793">
        <w:t xml:space="preserve"> days from receipt of payment from any 3</w:t>
      </w:r>
      <w:r w:rsidRPr="00D62793">
        <w:rPr>
          <w:vertAlign w:val="superscript"/>
        </w:rPr>
        <w:t>rd</w:t>
      </w:r>
      <w:r w:rsidRPr="00D62793">
        <w:t xml:space="preserve"> Party to </w:t>
      </w:r>
      <w:r w:rsidR="00291F9D" w:rsidRPr="00D62793">
        <w:t>COMPANY</w:t>
      </w:r>
      <w:r w:rsidRPr="00D62793">
        <w:t>.</w:t>
      </w:r>
    </w:p>
    <w:p w14:paraId="2C9414F8" w14:textId="727D1572" w:rsidR="0028736A" w:rsidRPr="00D62793" w:rsidRDefault="0028736A" w:rsidP="0028736A">
      <w:pPr>
        <w:pStyle w:val="NormalWeb"/>
        <w:spacing w:before="0" w:beforeAutospacing="0" w:after="0" w:afterAutospacing="0"/>
        <w:ind w:left="720"/>
        <w:rPr>
          <w:rFonts w:asciiTheme="minorHAnsi" w:hAnsiTheme="minorHAnsi"/>
          <w:sz w:val="22"/>
          <w:szCs w:val="22"/>
        </w:rPr>
      </w:pPr>
      <w:r w:rsidRPr="00D62793">
        <w:rPr>
          <w:rFonts w:asciiTheme="minorHAnsi" w:hAnsiTheme="minorHAnsi"/>
          <w:sz w:val="22"/>
          <w:szCs w:val="22"/>
        </w:rPr>
        <w:t xml:space="preserve">Bonus will </w:t>
      </w:r>
      <w:proofErr w:type="gramStart"/>
      <w:r w:rsidRPr="00D62793">
        <w:rPr>
          <w:rFonts w:asciiTheme="minorHAnsi" w:hAnsiTheme="minorHAnsi"/>
          <w:sz w:val="22"/>
          <w:szCs w:val="22"/>
        </w:rPr>
        <w:t>be paid</w:t>
      </w:r>
      <w:proofErr w:type="gramEnd"/>
      <w:r w:rsidRPr="00D62793">
        <w:rPr>
          <w:rFonts w:asciiTheme="minorHAnsi" w:hAnsiTheme="minorHAnsi"/>
          <w:sz w:val="22"/>
          <w:szCs w:val="22"/>
        </w:rPr>
        <w:t xml:space="preserve"> on net fees paid to </w:t>
      </w:r>
      <w:r w:rsidR="00291F9D" w:rsidRPr="00D62793">
        <w:rPr>
          <w:rFonts w:asciiTheme="minorHAnsi" w:hAnsiTheme="minorHAnsi"/>
          <w:sz w:val="22"/>
          <w:szCs w:val="22"/>
        </w:rPr>
        <w:t>COMPANY</w:t>
      </w:r>
      <w:r w:rsidRPr="00D62793">
        <w:rPr>
          <w:rFonts w:asciiTheme="minorHAnsi" w:hAnsiTheme="minorHAnsi"/>
          <w:sz w:val="22"/>
          <w:szCs w:val="22"/>
        </w:rPr>
        <w:t>. For purposes of these T&amp;C’s, "Quotation" shall mean any agreement and/or order of 3</w:t>
      </w:r>
      <w:r w:rsidRPr="00D62793">
        <w:rPr>
          <w:rFonts w:asciiTheme="minorHAnsi" w:hAnsiTheme="minorHAnsi"/>
          <w:sz w:val="22"/>
          <w:szCs w:val="22"/>
          <w:vertAlign w:val="superscript"/>
        </w:rPr>
        <w:t>rd</w:t>
      </w:r>
      <w:r w:rsidRPr="00D62793">
        <w:rPr>
          <w:rFonts w:asciiTheme="minorHAnsi" w:hAnsiTheme="minorHAnsi"/>
          <w:sz w:val="22"/>
          <w:szCs w:val="22"/>
        </w:rPr>
        <w:t xml:space="preserve"> Party's services arranged by the </w:t>
      </w:r>
      <w:r w:rsidR="00291F9D" w:rsidRPr="00D62793">
        <w:rPr>
          <w:rFonts w:asciiTheme="minorHAnsi" w:hAnsiTheme="minorHAnsi"/>
          <w:sz w:val="22"/>
          <w:szCs w:val="22"/>
        </w:rPr>
        <w:t>COMPANY</w:t>
      </w:r>
      <w:r w:rsidRPr="00D62793">
        <w:rPr>
          <w:rFonts w:asciiTheme="minorHAnsi" w:hAnsiTheme="minorHAnsi"/>
          <w:sz w:val="22"/>
          <w:szCs w:val="22"/>
        </w:rPr>
        <w:t xml:space="preserve"> Account Executive. This arrangement shall not create a partnership, joint venture, agency, employer/employee or similar relationship between 3</w:t>
      </w:r>
      <w:r w:rsidRPr="00D62793">
        <w:rPr>
          <w:rFonts w:asciiTheme="minorHAnsi" w:hAnsiTheme="minorHAnsi"/>
          <w:sz w:val="22"/>
          <w:szCs w:val="22"/>
          <w:vertAlign w:val="superscript"/>
        </w:rPr>
        <w:t>rd</w:t>
      </w:r>
      <w:r w:rsidRPr="00D62793">
        <w:rPr>
          <w:rFonts w:asciiTheme="minorHAnsi" w:hAnsiTheme="minorHAnsi"/>
          <w:sz w:val="22"/>
          <w:szCs w:val="22"/>
        </w:rPr>
        <w:t xml:space="preserve"> Party and the </w:t>
      </w:r>
      <w:r w:rsidR="00291F9D" w:rsidRPr="00D62793">
        <w:rPr>
          <w:rFonts w:asciiTheme="minorHAnsi" w:hAnsiTheme="minorHAnsi"/>
          <w:sz w:val="22"/>
          <w:szCs w:val="22"/>
        </w:rPr>
        <w:t>COMPANY</w:t>
      </w:r>
      <w:r w:rsidRPr="00D62793">
        <w:rPr>
          <w:rFonts w:asciiTheme="minorHAnsi" w:hAnsiTheme="minorHAnsi"/>
          <w:sz w:val="22"/>
          <w:szCs w:val="22"/>
        </w:rPr>
        <w:t xml:space="preserve"> Account Executive. </w:t>
      </w:r>
      <w:r w:rsidR="00291F9D" w:rsidRPr="00D62793">
        <w:rPr>
          <w:rFonts w:asciiTheme="minorHAnsi" w:hAnsiTheme="minorHAnsi"/>
          <w:sz w:val="22"/>
          <w:szCs w:val="22"/>
        </w:rPr>
        <w:t>COMPANY</w:t>
      </w:r>
      <w:r w:rsidRPr="00D62793">
        <w:rPr>
          <w:rFonts w:asciiTheme="minorHAnsi" w:hAnsiTheme="minorHAnsi"/>
          <w:sz w:val="22"/>
          <w:szCs w:val="22"/>
        </w:rPr>
        <w:t xml:space="preserve"> shall withhold any amounts for state or federal income tax or for FICA taxes from sums becoming due to Account Executive under this arrangement. Sales Representative </w:t>
      </w:r>
      <w:proofErr w:type="gramStart"/>
      <w:r w:rsidRPr="00D62793">
        <w:rPr>
          <w:rFonts w:asciiTheme="minorHAnsi" w:hAnsiTheme="minorHAnsi"/>
          <w:sz w:val="22"/>
          <w:szCs w:val="22"/>
        </w:rPr>
        <w:t>is not authorized</w:t>
      </w:r>
      <w:proofErr w:type="gramEnd"/>
      <w:r w:rsidRPr="00D62793">
        <w:rPr>
          <w:rFonts w:asciiTheme="minorHAnsi" w:hAnsiTheme="minorHAnsi"/>
          <w:sz w:val="22"/>
          <w:szCs w:val="22"/>
        </w:rPr>
        <w:t xml:space="preserve"> to extend any warranty or guarantee or to make representations or claims with respect to 3</w:t>
      </w:r>
      <w:r w:rsidRPr="00D62793">
        <w:rPr>
          <w:rFonts w:asciiTheme="minorHAnsi" w:hAnsiTheme="minorHAnsi"/>
          <w:sz w:val="22"/>
          <w:szCs w:val="22"/>
          <w:vertAlign w:val="superscript"/>
        </w:rPr>
        <w:t>rd</w:t>
      </w:r>
      <w:r w:rsidRPr="00D62793">
        <w:rPr>
          <w:rFonts w:asciiTheme="minorHAnsi" w:hAnsiTheme="minorHAnsi"/>
          <w:sz w:val="22"/>
          <w:szCs w:val="22"/>
        </w:rPr>
        <w:t xml:space="preserve"> Party services without express written authorization from </w:t>
      </w:r>
      <w:r w:rsidR="00291F9D" w:rsidRPr="00D62793">
        <w:rPr>
          <w:rFonts w:asciiTheme="minorHAnsi" w:hAnsiTheme="minorHAnsi"/>
          <w:sz w:val="22"/>
          <w:szCs w:val="22"/>
        </w:rPr>
        <w:t>COMPANY</w:t>
      </w:r>
      <w:r w:rsidRPr="00D62793">
        <w:rPr>
          <w:rFonts w:asciiTheme="minorHAnsi" w:hAnsiTheme="minorHAnsi"/>
          <w:sz w:val="22"/>
          <w:szCs w:val="22"/>
        </w:rPr>
        <w:t>.</w:t>
      </w:r>
    </w:p>
    <w:p w14:paraId="3B054969" w14:textId="77777777" w:rsidR="00027C83" w:rsidRPr="00D62793" w:rsidRDefault="00027C83" w:rsidP="0028736A">
      <w:pPr>
        <w:pStyle w:val="NormalWeb"/>
        <w:spacing w:before="0" w:beforeAutospacing="0" w:after="0" w:afterAutospacing="0"/>
        <w:ind w:left="720"/>
        <w:rPr>
          <w:rFonts w:asciiTheme="minorHAnsi" w:hAnsiTheme="minorHAnsi"/>
          <w:sz w:val="22"/>
          <w:szCs w:val="22"/>
        </w:rPr>
      </w:pPr>
    </w:p>
    <w:p w14:paraId="30FE20F5" w14:textId="77777777" w:rsidR="0028598D" w:rsidRPr="00D62793" w:rsidRDefault="0028598D" w:rsidP="00720BAD">
      <w:pPr>
        <w:pStyle w:val="Heading4"/>
        <w:rPr>
          <w:color w:val="auto"/>
        </w:rPr>
      </w:pPr>
      <w:proofErr w:type="spellStart"/>
      <w:r w:rsidRPr="00D62793">
        <w:rPr>
          <w:color w:val="auto"/>
        </w:rPr>
        <w:t>Clawbacks</w:t>
      </w:r>
      <w:proofErr w:type="spellEnd"/>
      <w:r w:rsidRPr="00D62793">
        <w:rPr>
          <w:color w:val="auto"/>
        </w:rPr>
        <w:t>, Givebacks and Credit Memos</w:t>
      </w:r>
    </w:p>
    <w:p w14:paraId="20431293" w14:textId="77777777" w:rsidR="0028598D" w:rsidRPr="00D62793" w:rsidRDefault="003C7757" w:rsidP="0028598D">
      <w:pPr>
        <w:ind w:left="720"/>
      </w:pPr>
      <w:r w:rsidRPr="00D62793">
        <w:t xml:space="preserve">For information on </w:t>
      </w:r>
      <w:proofErr w:type="spellStart"/>
      <w:r w:rsidRPr="00D62793">
        <w:t>Clawbacks</w:t>
      </w:r>
      <w:proofErr w:type="spellEnd"/>
      <w:r w:rsidRPr="00D62793">
        <w:t>, Givebacks, and Credit Memos, please refer to Appendix 2.</w:t>
      </w:r>
    </w:p>
    <w:p w14:paraId="482C62C6" w14:textId="77777777" w:rsidR="0028598D" w:rsidRPr="00D62793" w:rsidRDefault="0028598D" w:rsidP="00720BAD">
      <w:pPr>
        <w:pStyle w:val="Heading4"/>
        <w:rPr>
          <w:color w:val="auto"/>
        </w:rPr>
      </w:pPr>
      <w:r w:rsidRPr="00D62793">
        <w:rPr>
          <w:color w:val="auto"/>
        </w:rPr>
        <w:lastRenderedPageBreak/>
        <w:t>Territory Listing</w:t>
      </w:r>
    </w:p>
    <w:p w14:paraId="69D629CF" w14:textId="525465B1" w:rsidR="0028598D" w:rsidRPr="00D62793" w:rsidRDefault="00B760C3" w:rsidP="0028598D">
      <w:pPr>
        <w:autoSpaceDE w:val="0"/>
        <w:autoSpaceDN w:val="0"/>
        <w:adjustRightInd w:val="0"/>
        <w:ind w:left="720"/>
        <w:jc w:val="both"/>
        <w:rPr>
          <w:rFonts w:ascii="Calibri" w:hAnsi="Calibri"/>
        </w:rPr>
      </w:pPr>
      <w:r w:rsidRPr="00D62793">
        <w:rPr>
          <w:rFonts w:ascii="Calibri" w:hAnsi="Calibri"/>
        </w:rPr>
        <w:t>In addition to the potential sales opportunities given to a participant to develop, e</w:t>
      </w:r>
      <w:r w:rsidR="0028598D" w:rsidRPr="00D62793">
        <w:rPr>
          <w:rFonts w:ascii="Calibri" w:hAnsi="Calibri"/>
        </w:rPr>
        <w:t xml:space="preserve">ach </w:t>
      </w:r>
      <w:r w:rsidRPr="00D62793">
        <w:rPr>
          <w:rFonts w:ascii="Calibri" w:hAnsi="Calibri"/>
        </w:rPr>
        <w:t>p</w:t>
      </w:r>
      <w:r w:rsidR="0028598D" w:rsidRPr="00D62793">
        <w:rPr>
          <w:rFonts w:ascii="Calibri" w:hAnsi="Calibri"/>
        </w:rPr>
        <w:t xml:space="preserve">articipant </w:t>
      </w:r>
      <w:r w:rsidRPr="00D62793">
        <w:rPr>
          <w:rFonts w:ascii="Calibri" w:hAnsi="Calibri"/>
        </w:rPr>
        <w:t>will be assigned a</w:t>
      </w:r>
      <w:r w:rsidR="0028598D" w:rsidRPr="00D62793">
        <w:rPr>
          <w:rFonts w:ascii="Calibri" w:hAnsi="Calibri"/>
        </w:rPr>
        <w:t xml:space="preserve"> specific </w:t>
      </w:r>
      <w:r w:rsidR="00571478" w:rsidRPr="00D62793">
        <w:rPr>
          <w:rFonts w:ascii="Calibri" w:hAnsi="Calibri"/>
        </w:rPr>
        <w:t>territory</w:t>
      </w:r>
      <w:r w:rsidR="0028598D" w:rsidRPr="00D62793">
        <w:rPr>
          <w:rFonts w:ascii="Calibri" w:hAnsi="Calibri"/>
        </w:rPr>
        <w:t xml:space="preserve"> in </w:t>
      </w:r>
      <w:r w:rsidR="00291F9D" w:rsidRPr="00D62793">
        <w:rPr>
          <w:rFonts w:ascii="Calibri" w:hAnsi="Calibri"/>
        </w:rPr>
        <w:t>COMPANY</w:t>
      </w:r>
      <w:r w:rsidR="00230518" w:rsidRPr="00D62793">
        <w:rPr>
          <w:rFonts w:ascii="Calibri" w:hAnsi="Calibri"/>
        </w:rPr>
        <w:t>’s CRM</w:t>
      </w:r>
      <w:r w:rsidR="0028598D" w:rsidRPr="00D62793">
        <w:rPr>
          <w:rFonts w:ascii="Calibri" w:hAnsi="Calibri"/>
        </w:rPr>
        <w:t xml:space="preserve"> without regard to </w:t>
      </w:r>
      <w:r w:rsidR="00571478" w:rsidRPr="00D62793">
        <w:rPr>
          <w:rFonts w:ascii="Calibri" w:hAnsi="Calibri"/>
        </w:rPr>
        <w:t xml:space="preserve">physical </w:t>
      </w:r>
      <w:r w:rsidR="0028598D" w:rsidRPr="00D62793">
        <w:rPr>
          <w:rFonts w:ascii="Calibri" w:hAnsi="Calibri"/>
        </w:rPr>
        <w:t xml:space="preserve">geographical </w:t>
      </w:r>
      <w:r w:rsidR="00571478" w:rsidRPr="00D62793">
        <w:rPr>
          <w:rFonts w:ascii="Calibri" w:hAnsi="Calibri"/>
        </w:rPr>
        <w:t>location</w:t>
      </w:r>
      <w:r w:rsidR="0028598D" w:rsidRPr="00D62793">
        <w:rPr>
          <w:rFonts w:ascii="Calibri" w:hAnsi="Calibri"/>
        </w:rPr>
        <w:t xml:space="preserve">. All assignments are subject to modification by </w:t>
      </w:r>
      <w:r w:rsidR="00291F9D" w:rsidRPr="00D62793">
        <w:rPr>
          <w:rFonts w:ascii="Calibri" w:hAnsi="Calibri"/>
        </w:rPr>
        <w:t>COMPANY</w:t>
      </w:r>
      <w:r w:rsidR="0028598D" w:rsidRPr="00D62793">
        <w:rPr>
          <w:rFonts w:ascii="Calibri" w:hAnsi="Calibri"/>
        </w:rPr>
        <w:t>’s CEO or VP of Sales.</w:t>
      </w:r>
    </w:p>
    <w:p w14:paraId="580EC8E8" w14:textId="77777777" w:rsidR="0028598D" w:rsidRPr="00D62793" w:rsidRDefault="006B7884" w:rsidP="00720BAD">
      <w:pPr>
        <w:pStyle w:val="Heading1"/>
        <w:rPr>
          <w:color w:val="auto"/>
        </w:rPr>
      </w:pPr>
      <w:bookmarkStart w:id="21" w:name="_Toc254258163"/>
      <w:bookmarkStart w:id="22" w:name="_Toc254258355"/>
      <w:bookmarkStart w:id="23" w:name="_Toc254258776"/>
      <w:bookmarkStart w:id="24" w:name="_Toc443472290"/>
      <w:bookmarkStart w:id="25" w:name="_Toc472922363"/>
      <w:r w:rsidRPr="00D62793">
        <w:rPr>
          <w:color w:val="auto"/>
        </w:rPr>
        <w:t xml:space="preserve">On-Plan Dates, Effective Dates, Sales </w:t>
      </w:r>
      <w:r w:rsidR="00033A1C" w:rsidRPr="00D62793">
        <w:rPr>
          <w:color w:val="auto"/>
        </w:rPr>
        <w:t>Threshold</w:t>
      </w:r>
      <w:bookmarkEnd w:id="21"/>
      <w:bookmarkEnd w:id="22"/>
      <w:bookmarkEnd w:id="23"/>
      <w:bookmarkEnd w:id="24"/>
      <w:bookmarkEnd w:id="25"/>
    </w:p>
    <w:p w14:paraId="4A3E5CE6" w14:textId="77777777" w:rsidR="006B7884" w:rsidRPr="00D62793" w:rsidRDefault="006B7884" w:rsidP="00720BAD">
      <w:pPr>
        <w:pStyle w:val="Heading4"/>
        <w:rPr>
          <w:color w:val="auto"/>
        </w:rPr>
      </w:pPr>
      <w:r w:rsidRPr="00D62793">
        <w:rPr>
          <w:color w:val="auto"/>
        </w:rPr>
        <w:t>Effective Date / On-Plan Date</w:t>
      </w:r>
    </w:p>
    <w:p w14:paraId="557EBD9E" w14:textId="5A553559" w:rsidR="006B7884" w:rsidRPr="00D62793" w:rsidRDefault="006B7884" w:rsidP="006B7884">
      <w:pPr>
        <w:ind w:left="720"/>
      </w:pPr>
      <w:r w:rsidRPr="00D62793">
        <w:t xml:space="preserve">The Effective/On-Plan Date will be the date the employee is eligible to begin </w:t>
      </w:r>
      <w:r w:rsidR="003C7757" w:rsidRPr="00D62793">
        <w:t>participation</w:t>
      </w:r>
      <w:r w:rsidRPr="00D62793">
        <w:t xml:space="preserve"> in this Plan and is indicated on the </w:t>
      </w:r>
      <w:r w:rsidR="00033A1C" w:rsidRPr="00D62793">
        <w:t>Individualized</w:t>
      </w:r>
      <w:r w:rsidRPr="00D62793">
        <w:t xml:space="preserve"> Compensation Plan. New hires to the Company may go on plan on the fist or the </w:t>
      </w:r>
      <w:r w:rsidR="00283229" w:rsidRPr="00D62793">
        <w:t>sixteenth</w:t>
      </w:r>
      <w:r w:rsidRPr="00D62793">
        <w:t xml:space="preserve"> day of a month. </w:t>
      </w:r>
    </w:p>
    <w:p w14:paraId="1A590FD9" w14:textId="77777777" w:rsidR="00F25C8B" w:rsidRPr="00D62793" w:rsidRDefault="00F25C8B" w:rsidP="00720BAD">
      <w:pPr>
        <w:pStyle w:val="Heading4"/>
        <w:rPr>
          <w:color w:val="auto"/>
        </w:rPr>
      </w:pPr>
      <w:r w:rsidRPr="00D62793">
        <w:rPr>
          <w:color w:val="auto"/>
        </w:rPr>
        <w:t>Leave of Absence (LOA)</w:t>
      </w:r>
    </w:p>
    <w:p w14:paraId="65C1C72E" w14:textId="110865BC" w:rsidR="00F25C8B" w:rsidRPr="00D62793" w:rsidRDefault="00F25C8B" w:rsidP="00283229">
      <w:pPr>
        <w:ind w:left="720"/>
        <w:jc w:val="both"/>
      </w:pPr>
      <w:r w:rsidRPr="00D62793">
        <w:t xml:space="preserve">In general, employees on paid or unpaid leave of absence, including but not limited to pregnancy leave or other short term or long term disability, will </w:t>
      </w:r>
      <w:r w:rsidRPr="00D62793">
        <w:rPr>
          <w:i/>
        </w:rPr>
        <w:t>not</w:t>
      </w:r>
      <w:r w:rsidRPr="00D62793">
        <w:t xml:space="preserve"> be eligible to earn </w:t>
      </w:r>
      <w:r w:rsidR="00283229" w:rsidRPr="00D62793">
        <w:t>incentive compensation</w:t>
      </w:r>
      <w:r w:rsidRPr="00D62793">
        <w:t xml:space="preserve"> during the leave.</w:t>
      </w:r>
    </w:p>
    <w:p w14:paraId="56031743" w14:textId="3BA39808" w:rsidR="00F25C8B" w:rsidRPr="00D62793" w:rsidRDefault="00F25C8B" w:rsidP="00283229">
      <w:pPr>
        <w:ind w:left="720"/>
        <w:jc w:val="both"/>
      </w:pPr>
      <w:r w:rsidRPr="00D62793">
        <w:t xml:space="preserve">The prior approval of the CEO or his designee </w:t>
      </w:r>
      <w:r w:rsidR="006F3B2F" w:rsidRPr="00D62793">
        <w:t xml:space="preserve">is required for exceptional cases where </w:t>
      </w:r>
      <w:r w:rsidR="00283229" w:rsidRPr="00D62793">
        <w:t>a Participant</w:t>
      </w:r>
      <w:r w:rsidR="006F3B2F" w:rsidRPr="00D62793">
        <w:t xml:space="preserve"> may be given the option to retain </w:t>
      </w:r>
      <w:r w:rsidR="00283229" w:rsidRPr="00D62793">
        <w:t xml:space="preserve">some accounts </w:t>
      </w:r>
      <w:r w:rsidR="006F3B2F" w:rsidRPr="00D62793">
        <w:t>during a leave of absence.</w:t>
      </w:r>
    </w:p>
    <w:p w14:paraId="3A76E876" w14:textId="77777777" w:rsidR="006F3B2F" w:rsidRPr="00D62793" w:rsidRDefault="006F3B2F" w:rsidP="00720BAD">
      <w:pPr>
        <w:pStyle w:val="Heading1"/>
        <w:rPr>
          <w:color w:val="auto"/>
        </w:rPr>
      </w:pPr>
      <w:bookmarkStart w:id="26" w:name="_Toc254258164"/>
      <w:bookmarkStart w:id="27" w:name="_Toc254258356"/>
      <w:bookmarkStart w:id="28" w:name="_Toc254258777"/>
      <w:bookmarkStart w:id="29" w:name="_Toc443472291"/>
      <w:bookmarkStart w:id="30" w:name="_Toc472922364"/>
      <w:r w:rsidRPr="00D62793">
        <w:rPr>
          <w:color w:val="auto"/>
        </w:rPr>
        <w:t>Termination</w:t>
      </w:r>
      <w:bookmarkEnd w:id="26"/>
      <w:bookmarkEnd w:id="27"/>
      <w:bookmarkEnd w:id="28"/>
      <w:bookmarkEnd w:id="29"/>
      <w:bookmarkEnd w:id="30"/>
      <w:r w:rsidRPr="00D62793">
        <w:rPr>
          <w:color w:val="auto"/>
        </w:rPr>
        <w:t xml:space="preserve"> </w:t>
      </w:r>
    </w:p>
    <w:p w14:paraId="7EC0CA55" w14:textId="7C689858" w:rsidR="006F3B2F" w:rsidRPr="00D62793" w:rsidRDefault="006F3B2F" w:rsidP="004040CB">
      <w:pPr>
        <w:pStyle w:val="ListParagraph"/>
        <w:numPr>
          <w:ilvl w:val="0"/>
          <w:numId w:val="13"/>
        </w:numPr>
        <w:jc w:val="both"/>
      </w:pPr>
      <w:r w:rsidRPr="00D62793">
        <w:t>A</w:t>
      </w:r>
      <w:r w:rsidR="004040CB" w:rsidRPr="00D62793">
        <w:t xml:space="preserve"> Participant</w:t>
      </w:r>
      <w:r w:rsidRPr="00D62793">
        <w:t xml:space="preserve">’s ability to earn </w:t>
      </w:r>
      <w:r w:rsidR="004040CB" w:rsidRPr="00D62793">
        <w:t xml:space="preserve">incentive </w:t>
      </w:r>
      <w:r w:rsidR="00925ABB" w:rsidRPr="00D62793">
        <w:t>compensation</w:t>
      </w:r>
      <w:r w:rsidRPr="00D62793">
        <w:t xml:space="preserve"> under the Plan terminates on the employee’s last day of employment with the Company, regardless of the timing of Revenue </w:t>
      </w:r>
      <w:r w:rsidR="00033A1C" w:rsidRPr="00D62793">
        <w:t xml:space="preserve">recognition and the </w:t>
      </w:r>
      <w:r w:rsidR="004040CB" w:rsidRPr="00D62793">
        <w:t>Participant</w:t>
      </w:r>
      <w:r w:rsidR="00033A1C" w:rsidRPr="00D62793">
        <w:t xml:space="preserve"> will only be eligible for </w:t>
      </w:r>
      <w:r w:rsidR="004040CB" w:rsidRPr="00D62793">
        <w:t>earned incentive compensation</w:t>
      </w:r>
      <w:r w:rsidR="00033A1C" w:rsidRPr="00D62793">
        <w:t xml:space="preserve"> resulting from transactions invoiced up to and including the last day of employment, less outstanding Advances Against </w:t>
      </w:r>
      <w:r w:rsidR="004040CB" w:rsidRPr="00D62793">
        <w:t xml:space="preserve">Incentive </w:t>
      </w:r>
      <w:r w:rsidR="00033A1C" w:rsidRPr="00D62793">
        <w:t>Compensation.</w:t>
      </w:r>
    </w:p>
    <w:p w14:paraId="57F7E35B" w14:textId="77777777" w:rsidR="00033A1C" w:rsidRPr="00D62793" w:rsidRDefault="00033A1C">
      <w:r w:rsidRPr="00D62793">
        <w:br w:type="page"/>
      </w:r>
    </w:p>
    <w:p w14:paraId="5BD9F5C5" w14:textId="77777777" w:rsidR="00033A1C" w:rsidRPr="00D62793" w:rsidRDefault="00033A1C" w:rsidP="00720BAD">
      <w:pPr>
        <w:pStyle w:val="Heading1"/>
        <w:rPr>
          <w:color w:val="auto"/>
        </w:rPr>
      </w:pPr>
      <w:bookmarkStart w:id="31" w:name="_Toc254258165"/>
      <w:bookmarkStart w:id="32" w:name="_Toc254258357"/>
      <w:bookmarkStart w:id="33" w:name="_Toc254258778"/>
      <w:bookmarkStart w:id="34" w:name="_Toc443472292"/>
      <w:bookmarkStart w:id="35" w:name="_Toc472922365"/>
      <w:r w:rsidRPr="00D62793">
        <w:rPr>
          <w:color w:val="auto"/>
        </w:rPr>
        <w:lastRenderedPageBreak/>
        <w:t>Appendix 1: Sales Credits &amp; Bonuses – Annuity Sales</w:t>
      </w:r>
      <w:bookmarkEnd w:id="31"/>
      <w:bookmarkEnd w:id="32"/>
      <w:bookmarkEnd w:id="33"/>
      <w:bookmarkEnd w:id="34"/>
      <w:bookmarkEnd w:id="35"/>
    </w:p>
    <w:p w14:paraId="53B66CFE" w14:textId="12D3415A" w:rsidR="00033A1C" w:rsidRPr="00D62793" w:rsidRDefault="00913C86" w:rsidP="00033A1C">
      <w:r w:rsidRPr="00D62793">
        <w:t xml:space="preserve">The following are the Terms and Conditions of the Annuity Sales Plan. These are supplemental </w:t>
      </w:r>
      <w:proofErr w:type="gramStart"/>
      <w:r w:rsidRPr="00D62793">
        <w:t>to, and</w:t>
      </w:r>
      <w:proofErr w:type="gramEnd"/>
      <w:r w:rsidRPr="00D62793">
        <w:t xml:space="preserve"> are subject to the </w:t>
      </w:r>
      <w:r w:rsidR="00BE6415" w:rsidRPr="00D62793">
        <w:t>FY</w:t>
      </w:r>
      <w:r w:rsidR="004223FD" w:rsidRPr="00D62793">
        <w:t>18</w:t>
      </w:r>
      <w:r w:rsidRPr="00D62793">
        <w:t xml:space="preserve"> </w:t>
      </w:r>
      <w:r w:rsidR="00C502B9" w:rsidRPr="00D62793">
        <w:t xml:space="preserve">Sales </w:t>
      </w:r>
      <w:r w:rsidRPr="00D62793">
        <w:t>Compensation Terms and Conditions.</w:t>
      </w:r>
    </w:p>
    <w:p w14:paraId="188031BB" w14:textId="77777777" w:rsidR="00913C86" w:rsidRPr="00D62793" w:rsidRDefault="00913C86" w:rsidP="00720BAD">
      <w:pPr>
        <w:pStyle w:val="Heading2"/>
        <w:rPr>
          <w:color w:val="auto"/>
        </w:rPr>
      </w:pPr>
      <w:bookmarkStart w:id="36" w:name="_Toc254258166"/>
      <w:bookmarkStart w:id="37" w:name="_Toc254258358"/>
      <w:bookmarkStart w:id="38" w:name="_Toc254258779"/>
      <w:bookmarkStart w:id="39" w:name="_Toc443472293"/>
      <w:bookmarkStart w:id="40" w:name="_Toc472922366"/>
      <w:r w:rsidRPr="00D62793">
        <w:rPr>
          <w:color w:val="auto"/>
        </w:rPr>
        <w:t>Sales Credits/Bonuses</w:t>
      </w:r>
      <w:bookmarkEnd w:id="36"/>
      <w:bookmarkEnd w:id="37"/>
      <w:bookmarkEnd w:id="38"/>
      <w:bookmarkEnd w:id="39"/>
      <w:bookmarkEnd w:id="40"/>
    </w:p>
    <w:p w14:paraId="0900842A" w14:textId="6399C8DE" w:rsidR="00913C86" w:rsidRPr="00D62793" w:rsidRDefault="00913C86" w:rsidP="00C502B9">
      <w:pPr>
        <w:jc w:val="both"/>
      </w:pPr>
      <w:r w:rsidRPr="00D62793">
        <w:t xml:space="preserve">Sales Credit practices are based on </w:t>
      </w:r>
      <w:r w:rsidR="00291F9D" w:rsidRPr="00D62793">
        <w:t>COMPANY</w:t>
      </w:r>
      <w:r w:rsidRPr="00D62793">
        <w:t>’s pricing, Revenue Recognition policies</w:t>
      </w:r>
      <w:r w:rsidR="003C7757" w:rsidRPr="00D62793">
        <w:t xml:space="preserve">, </w:t>
      </w:r>
      <w:proofErr w:type="gramStart"/>
      <w:r w:rsidR="003C7757" w:rsidRPr="00D62793">
        <w:t>subscription</w:t>
      </w:r>
      <w:proofErr w:type="gramEnd"/>
      <w:r w:rsidRPr="00D62793">
        <w:t xml:space="preserve"> and </w:t>
      </w:r>
      <w:r w:rsidR="003C7757" w:rsidRPr="00D62793">
        <w:t>businesses practices, and are</w:t>
      </w:r>
      <w:r w:rsidRPr="00D62793">
        <w:t xml:space="preserve"> subject to change. The Revenue Recognition policy can be found at </w:t>
      </w:r>
      <w:r w:rsidR="00307127" w:rsidRPr="00D62793">
        <w:t xml:space="preserve">https://app.bom.com/files/detail-summary?file_master_id=6646309&amp;file_id=14281069 </w:t>
      </w:r>
    </w:p>
    <w:p w14:paraId="73DAFFB1" w14:textId="77777777" w:rsidR="00913C86" w:rsidRPr="00D62793" w:rsidRDefault="00913C86" w:rsidP="00C502B9">
      <w:pPr>
        <w:jc w:val="both"/>
        <w:rPr>
          <w:i/>
        </w:rPr>
      </w:pPr>
      <w:r w:rsidRPr="00D62793">
        <w:rPr>
          <w:i/>
        </w:rPr>
        <w:t>The Company reserves the right to introduce new product and service and withdraw existing product and services and products eligible for Sales Credit / Bonuses approved by the CEO and/or his designee.</w:t>
      </w:r>
    </w:p>
    <w:p w14:paraId="33903199" w14:textId="6BE4EB03" w:rsidR="00913C86" w:rsidRPr="00D62793" w:rsidRDefault="00913C86" w:rsidP="00C502B9">
      <w:pPr>
        <w:jc w:val="both"/>
      </w:pPr>
      <w:r w:rsidRPr="00D62793">
        <w:rPr>
          <w:b/>
        </w:rPr>
        <w:t>NOTE:</w:t>
      </w:r>
      <w:r w:rsidRPr="00D62793">
        <w:t xml:space="preserve"> The receipt of a Sales Credit on a transaction does not mean that any </w:t>
      </w:r>
      <w:r w:rsidR="00C502B9" w:rsidRPr="00D62793">
        <w:t>incentive compensation</w:t>
      </w:r>
      <w:r w:rsidRPr="00D62793">
        <w:t xml:space="preserve"> </w:t>
      </w:r>
      <w:r w:rsidR="001A6C3E" w:rsidRPr="00D62793">
        <w:t>has</w:t>
      </w:r>
      <w:r w:rsidRPr="00D62793">
        <w:t xml:space="preserve"> yet been earned on the transaction. Please see Section II, Administration and Approvals.</w:t>
      </w:r>
    </w:p>
    <w:p w14:paraId="3DCB7DA5" w14:textId="761FF077" w:rsidR="00913C86" w:rsidRPr="00D62793" w:rsidRDefault="00EA5534" w:rsidP="00913C86">
      <w:r w:rsidRPr="00D62793">
        <w:t xml:space="preserve">Various Sales Credits are </w:t>
      </w:r>
      <w:r w:rsidR="003C7757" w:rsidRPr="00D62793">
        <w:t>illustrated</w:t>
      </w:r>
      <w:r w:rsidRPr="00D62793">
        <w:t xml:space="preserve"> below. Eligibility for Sales Credits and Bonuses will be noted on the </w:t>
      </w:r>
      <w:r w:rsidR="00C502B9" w:rsidRPr="00D62793">
        <w:t>Participant</w:t>
      </w:r>
      <w:r w:rsidR="003C7757" w:rsidRPr="00D62793">
        <w:t>’s</w:t>
      </w:r>
      <w:r w:rsidRPr="00D62793">
        <w:t xml:space="preserve"> </w:t>
      </w:r>
      <w:r w:rsidR="003C7757" w:rsidRPr="00D62793">
        <w:t>Individualized</w:t>
      </w:r>
      <w:r w:rsidRPr="00D62793">
        <w:t xml:space="preserve"> Compensation Plan.</w:t>
      </w:r>
    </w:p>
    <w:p w14:paraId="429FEC39" w14:textId="77777777" w:rsidR="00EA5534" w:rsidRPr="00D62793" w:rsidRDefault="00EA5534" w:rsidP="00720BAD">
      <w:pPr>
        <w:pStyle w:val="Heading5"/>
        <w:rPr>
          <w:color w:val="auto"/>
        </w:rPr>
      </w:pPr>
      <w:r w:rsidRPr="00D62793">
        <w:rPr>
          <w:color w:val="auto"/>
        </w:rPr>
        <w:t>NET Sales Credit</w:t>
      </w:r>
    </w:p>
    <w:p w14:paraId="0C3612EA" w14:textId="47D17A0C" w:rsidR="00EA5534" w:rsidRPr="00D62793" w:rsidRDefault="00EA5534" w:rsidP="00913C86">
      <w:pPr>
        <w:rPr>
          <w:i/>
        </w:rPr>
      </w:pPr>
      <w:r w:rsidRPr="00D62793">
        <w:rPr>
          <w:i/>
        </w:rPr>
        <w:t xml:space="preserve">The amount of Sales Credit </w:t>
      </w:r>
      <w:proofErr w:type="gramStart"/>
      <w:r w:rsidRPr="00D62793">
        <w:rPr>
          <w:i/>
        </w:rPr>
        <w:t>is computed</w:t>
      </w:r>
      <w:proofErr w:type="gramEnd"/>
      <w:r w:rsidRPr="00D62793">
        <w:rPr>
          <w:i/>
        </w:rPr>
        <w:t xml:space="preserve"> by taking the LIST price</w:t>
      </w:r>
      <w:r w:rsidR="001A6C3E" w:rsidRPr="00D62793">
        <w:rPr>
          <w:i/>
        </w:rPr>
        <w:t xml:space="preserve"> (as detailed in the </w:t>
      </w:r>
      <w:r w:rsidR="00291F9D" w:rsidRPr="00D62793">
        <w:rPr>
          <w:i/>
        </w:rPr>
        <w:t>COMPANY</w:t>
      </w:r>
      <w:r w:rsidR="001A6C3E" w:rsidRPr="00D62793">
        <w:rPr>
          <w:i/>
        </w:rPr>
        <w:t xml:space="preserve"> Quoting</w:t>
      </w:r>
      <w:r w:rsidRPr="00D62793">
        <w:rPr>
          <w:i/>
        </w:rPr>
        <w:t xml:space="preserve"> </w:t>
      </w:r>
      <w:r w:rsidR="001A6C3E" w:rsidRPr="00D62793">
        <w:rPr>
          <w:i/>
        </w:rPr>
        <w:t xml:space="preserve">Systems) </w:t>
      </w:r>
      <w:r w:rsidRPr="00D62793">
        <w:rPr>
          <w:i/>
        </w:rPr>
        <w:t>of the Product or Services sold, less:</w:t>
      </w:r>
    </w:p>
    <w:p w14:paraId="11804412" w14:textId="4F3BFD9F" w:rsidR="00EA5534" w:rsidRPr="00D62793" w:rsidRDefault="00EA5534" w:rsidP="00EA5534">
      <w:pPr>
        <w:pStyle w:val="ListParagraph"/>
        <w:numPr>
          <w:ilvl w:val="0"/>
          <w:numId w:val="17"/>
        </w:numPr>
        <w:rPr>
          <w:i/>
        </w:rPr>
      </w:pPr>
      <w:r w:rsidRPr="00D62793">
        <w:t>Any discount, partner</w:t>
      </w:r>
      <w:r w:rsidR="001A6C3E" w:rsidRPr="00D62793">
        <w:t>,</w:t>
      </w:r>
      <w:r w:rsidRPr="00D62793">
        <w:t xml:space="preserve"> referral fee or </w:t>
      </w:r>
      <w:r w:rsidR="001A6C3E" w:rsidRPr="00D62793">
        <w:t>royalty</w:t>
      </w:r>
      <w:r w:rsidRPr="00D62793">
        <w:t xml:space="preserve"> fee</w:t>
      </w:r>
    </w:p>
    <w:p w14:paraId="00C02EB3" w14:textId="77777777" w:rsidR="00EA5534" w:rsidRPr="00D62793" w:rsidRDefault="00EA5534" w:rsidP="00EA5534">
      <w:pPr>
        <w:pStyle w:val="ListParagraph"/>
        <w:numPr>
          <w:ilvl w:val="0"/>
          <w:numId w:val="17"/>
        </w:numPr>
        <w:rPr>
          <w:i/>
        </w:rPr>
      </w:pPr>
      <w:r w:rsidRPr="00D62793">
        <w:t>The fair value of any included element (e.g. users Licenses, consulting services or training services</w:t>
      </w:r>
    </w:p>
    <w:p w14:paraId="67CC396E" w14:textId="77777777" w:rsidR="00EA5534" w:rsidRPr="00D62793" w:rsidRDefault="00EA5534" w:rsidP="00EA5534">
      <w:pPr>
        <w:pStyle w:val="ListParagraph"/>
        <w:rPr>
          <w:b/>
          <w:u w:val="single"/>
        </w:rPr>
      </w:pPr>
    </w:p>
    <w:p w14:paraId="20C417D7" w14:textId="77777777" w:rsidR="00EA5534" w:rsidRPr="00D62793" w:rsidRDefault="00EA5534" w:rsidP="00720BAD">
      <w:pPr>
        <w:pStyle w:val="Heading5"/>
        <w:rPr>
          <w:color w:val="auto"/>
        </w:rPr>
      </w:pPr>
      <w:r w:rsidRPr="00D62793">
        <w:rPr>
          <w:color w:val="auto"/>
        </w:rPr>
        <w:t>License Subscription Sales Credit</w:t>
      </w:r>
    </w:p>
    <w:p w14:paraId="1DD3611C" w14:textId="77777777" w:rsidR="00EA5534" w:rsidRPr="00D62793" w:rsidRDefault="00EA5534" w:rsidP="00EA5534">
      <w:pPr>
        <w:pStyle w:val="ListParagraph"/>
        <w:ind w:left="0"/>
        <w:rPr>
          <w:i/>
        </w:rPr>
      </w:pPr>
      <w:r w:rsidRPr="00D62793">
        <w:rPr>
          <w:i/>
        </w:rPr>
        <w:t xml:space="preserve">Generally, Sales Credit follows Revenue Recognition; </w:t>
      </w:r>
    </w:p>
    <w:p w14:paraId="51412605" w14:textId="77777777" w:rsidR="00EA5534" w:rsidRPr="00D62793" w:rsidRDefault="00EA5534" w:rsidP="00EA5534">
      <w:pPr>
        <w:pStyle w:val="ListParagraph"/>
        <w:ind w:left="0"/>
        <w:rPr>
          <w:i/>
        </w:rPr>
      </w:pPr>
    </w:p>
    <w:p w14:paraId="4B5C6628" w14:textId="77777777" w:rsidR="00EA5534" w:rsidRPr="00D62793" w:rsidRDefault="00EA5534" w:rsidP="00C502B9">
      <w:pPr>
        <w:pStyle w:val="ListParagraph"/>
        <w:ind w:left="0"/>
        <w:jc w:val="both"/>
      </w:pPr>
      <w:r w:rsidRPr="00D62793">
        <w:t xml:space="preserve">Sales Credit is assigned Upon Invoicing given that </w:t>
      </w:r>
      <w:r w:rsidR="00CC5B55" w:rsidRPr="00D62793">
        <w:t>Revenue</w:t>
      </w:r>
      <w:r w:rsidRPr="00D62793">
        <w:t xml:space="preserve"> is recognized in accordance </w:t>
      </w:r>
      <w:r w:rsidR="007B4A0D" w:rsidRPr="00D62793">
        <w:t>with the Company’s Revenue Recognition Policy.</w:t>
      </w:r>
    </w:p>
    <w:p w14:paraId="32C7EC4A" w14:textId="77777777" w:rsidR="007B4A0D" w:rsidRPr="00D62793" w:rsidRDefault="007B4A0D" w:rsidP="00EA5534">
      <w:pPr>
        <w:pStyle w:val="ListParagraph"/>
        <w:ind w:left="0"/>
      </w:pPr>
    </w:p>
    <w:p w14:paraId="3AC0B1F8" w14:textId="6804F52E" w:rsidR="007B4A0D" w:rsidRPr="00D62793" w:rsidRDefault="007B4A0D" w:rsidP="00C502B9">
      <w:pPr>
        <w:pStyle w:val="ListParagraph"/>
        <w:ind w:left="0"/>
        <w:jc w:val="both"/>
      </w:pPr>
      <w:r w:rsidRPr="00D62793">
        <w:t xml:space="preserve">In the case where the Salesperson provides free or discounted service or training to customers as an inducement to close the Subscription transaction, </w:t>
      </w:r>
      <w:r w:rsidR="00C502B9" w:rsidRPr="00D62793">
        <w:t>u</w:t>
      </w:r>
      <w:r w:rsidRPr="00D62793">
        <w:t xml:space="preserve">pon the determination of the CEO and/or his designee, Subscription Sales Credits may be reclassified as respective services in alignment with the Company’s Revenue Recognition Policy. The result of this reclassification may affect credit qualification given to the eligible products noted on the salespersons </w:t>
      </w:r>
      <w:r w:rsidR="00CC5B55" w:rsidRPr="00D62793">
        <w:t>Individualized</w:t>
      </w:r>
      <w:r w:rsidRPr="00D62793">
        <w:t xml:space="preserve"> </w:t>
      </w:r>
      <w:r w:rsidR="00CC5B55" w:rsidRPr="00D62793">
        <w:t>Compensation</w:t>
      </w:r>
      <w:r w:rsidRPr="00D62793">
        <w:t xml:space="preserve"> Plan.</w:t>
      </w:r>
    </w:p>
    <w:p w14:paraId="0D783DD4" w14:textId="77777777" w:rsidR="007B4A0D" w:rsidRPr="00D62793" w:rsidRDefault="007B4A0D" w:rsidP="00EA5534">
      <w:pPr>
        <w:pStyle w:val="ListParagraph"/>
        <w:ind w:left="0"/>
      </w:pPr>
    </w:p>
    <w:p w14:paraId="58E8B379" w14:textId="2D5345AA" w:rsidR="00731A0D" w:rsidRPr="00D62793" w:rsidRDefault="00925ABB" w:rsidP="001A6C3E">
      <w:pPr>
        <w:pStyle w:val="ListParagraph"/>
        <w:ind w:left="0"/>
        <w:jc w:val="both"/>
        <w:rPr>
          <w:b/>
          <w:u w:val="single"/>
        </w:rPr>
      </w:pPr>
      <w:r w:rsidRPr="00D62793">
        <w:t>In a situation w</w:t>
      </w:r>
      <w:r w:rsidR="001A6C3E" w:rsidRPr="00D62793">
        <w:t>here a customer does an Annuity down sell</w:t>
      </w:r>
      <w:r w:rsidRPr="00D62793">
        <w:t xml:space="preserve"> </w:t>
      </w:r>
      <w:r w:rsidR="00027C83" w:rsidRPr="00D62793">
        <w:t xml:space="preserve">(churn) </w:t>
      </w:r>
      <w:r w:rsidRPr="00D62793">
        <w:t xml:space="preserve">on a renewal, </w:t>
      </w:r>
      <w:r w:rsidR="00291F9D" w:rsidRPr="00D62793">
        <w:t>COMPANY</w:t>
      </w:r>
      <w:r w:rsidRPr="00D62793">
        <w:t xml:space="preserve"> reserves the right to treat any subsequent </w:t>
      </w:r>
      <w:r w:rsidR="001A6C3E" w:rsidRPr="00D62793">
        <w:t xml:space="preserve">Annuity </w:t>
      </w:r>
      <w:r w:rsidRPr="00D62793">
        <w:t xml:space="preserve">Upsells in the next three quarters as renewal recovery, up to the amount of the </w:t>
      </w:r>
      <w:r w:rsidR="001A6C3E" w:rsidRPr="00D62793">
        <w:t>Annuity down sell</w:t>
      </w:r>
      <w:r w:rsidRPr="00D62793">
        <w:t xml:space="preserve">, rather than as an </w:t>
      </w:r>
      <w:r w:rsidR="001A6C3E" w:rsidRPr="00D62793">
        <w:t xml:space="preserve">Annuity </w:t>
      </w:r>
      <w:r w:rsidRPr="00D62793">
        <w:t>Upsell.  Such situations will be reviewed and decided by the VP of Sales</w:t>
      </w:r>
      <w:r w:rsidR="00571478" w:rsidRPr="00D62793">
        <w:t>, VP of Business Operations</w:t>
      </w:r>
      <w:r w:rsidRPr="00D62793">
        <w:t xml:space="preserve"> and the C</w:t>
      </w:r>
      <w:r w:rsidR="00571478" w:rsidRPr="00D62793">
        <w:t>E</w:t>
      </w:r>
      <w:r w:rsidRPr="00D62793">
        <w:t>O.</w:t>
      </w:r>
      <w:r w:rsidR="00731A0D" w:rsidRPr="00D62793">
        <w:rPr>
          <w:b/>
          <w:u w:val="single"/>
        </w:rPr>
        <w:br w:type="page"/>
      </w:r>
    </w:p>
    <w:p w14:paraId="2AD336BD" w14:textId="77777777" w:rsidR="00EB64A1" w:rsidRPr="00D62793" w:rsidRDefault="00EB64A1" w:rsidP="00720BAD">
      <w:pPr>
        <w:pStyle w:val="Heading4"/>
        <w:rPr>
          <w:color w:val="auto"/>
        </w:rPr>
      </w:pPr>
      <w:r w:rsidRPr="00D62793">
        <w:rPr>
          <w:color w:val="auto"/>
        </w:rPr>
        <w:lastRenderedPageBreak/>
        <w:t>Qualified Transactions for Sales Credit</w:t>
      </w:r>
    </w:p>
    <w:p w14:paraId="03E7B96B" w14:textId="77777777" w:rsidR="00EB64A1" w:rsidRPr="00D62793" w:rsidRDefault="00EB64A1" w:rsidP="00EB64A1">
      <w:pPr>
        <w:tabs>
          <w:tab w:val="left" w:pos="720"/>
        </w:tabs>
        <w:jc w:val="both"/>
      </w:pPr>
      <w:r w:rsidRPr="00D62793">
        <w:t>The following offerings will be credited to eligible Salespersons.</w:t>
      </w:r>
    </w:p>
    <w:p w14:paraId="6BC0FFA8" w14:textId="77777777" w:rsidR="00EB64A1" w:rsidRPr="00D62793" w:rsidRDefault="00EB64A1" w:rsidP="00720BAD">
      <w:pPr>
        <w:pStyle w:val="Heading5"/>
        <w:rPr>
          <w:color w:val="auto"/>
        </w:rPr>
      </w:pPr>
      <w:r w:rsidRPr="00D62793">
        <w:rPr>
          <w:color w:val="auto"/>
        </w:rPr>
        <w:t>New Annuity</w:t>
      </w:r>
    </w:p>
    <w:p w14:paraId="661CBC4D" w14:textId="4B3AA44B" w:rsidR="00EB64A1" w:rsidRPr="00D62793" w:rsidRDefault="00EB64A1" w:rsidP="00EB64A1">
      <w:pPr>
        <w:tabs>
          <w:tab w:val="left" w:pos="720"/>
        </w:tabs>
        <w:ind w:left="720"/>
        <w:jc w:val="both"/>
      </w:pPr>
      <w:r w:rsidRPr="00D62793">
        <w:t xml:space="preserve">New Annuity is defined as a new annuity subscription contract value up to the first </w:t>
      </w:r>
      <w:r w:rsidR="00B33B2F" w:rsidRPr="00D62793">
        <w:t xml:space="preserve">initial 12 </w:t>
      </w:r>
      <w:r w:rsidRPr="00D62793">
        <w:t>months of the service offered.</w:t>
      </w:r>
    </w:p>
    <w:p w14:paraId="7770C1F1" w14:textId="77777777" w:rsidR="00EB64A1" w:rsidRPr="00D62793" w:rsidRDefault="00EB64A1" w:rsidP="00720BAD">
      <w:pPr>
        <w:pStyle w:val="Heading5"/>
        <w:rPr>
          <w:color w:val="auto"/>
        </w:rPr>
      </w:pPr>
      <w:r w:rsidRPr="00D62793">
        <w:rPr>
          <w:color w:val="auto"/>
        </w:rPr>
        <w:t>Upsell Annuity</w:t>
      </w:r>
    </w:p>
    <w:p w14:paraId="3BCD30F0" w14:textId="331E99FB" w:rsidR="00EB64A1" w:rsidRPr="00D62793" w:rsidRDefault="00EB64A1" w:rsidP="00EB64A1">
      <w:pPr>
        <w:tabs>
          <w:tab w:val="left" w:pos="720"/>
        </w:tabs>
        <w:ind w:left="720"/>
        <w:jc w:val="both"/>
      </w:pPr>
      <w:r w:rsidRPr="00D62793">
        <w:t xml:space="preserve">Refers to an Annuity Bookings sale to an existing </w:t>
      </w:r>
      <w:r w:rsidR="00291F9D" w:rsidRPr="00D62793">
        <w:t>COMPANY</w:t>
      </w:r>
      <w:r w:rsidRPr="00D62793">
        <w:t xml:space="preserve"> Customer subscription contract during any existing term of the service. An </w:t>
      </w:r>
      <w:r w:rsidR="001A6C3E" w:rsidRPr="00D62793">
        <w:t xml:space="preserve">Annuity </w:t>
      </w:r>
      <w:r w:rsidRPr="00D62793">
        <w:t>Upsell occurs when the Captured Annuity Value (“CAB”) for a cust</w:t>
      </w:r>
      <w:r w:rsidR="00571478" w:rsidRPr="00D62793">
        <w:t xml:space="preserve">omer exceeds the January 1, </w:t>
      </w:r>
      <w:r w:rsidR="00BE6415" w:rsidRPr="00D62793">
        <w:t>20</w:t>
      </w:r>
      <w:r w:rsidR="004223FD" w:rsidRPr="00D62793">
        <w:t>18</w:t>
      </w:r>
      <w:r w:rsidRPr="00D62793">
        <w:t xml:space="preserve"> CAB value.  The </w:t>
      </w:r>
      <w:r w:rsidR="00A97075" w:rsidRPr="00D62793">
        <w:t xml:space="preserve">Vice President of </w:t>
      </w:r>
      <w:r w:rsidR="00571478" w:rsidRPr="00D62793">
        <w:t>Finance</w:t>
      </w:r>
      <w:r w:rsidR="00A97075" w:rsidRPr="00D62793">
        <w:t xml:space="preserve"> </w:t>
      </w:r>
      <w:r w:rsidRPr="00D62793">
        <w:t xml:space="preserve">and/or the </w:t>
      </w:r>
      <w:r w:rsidR="00571478" w:rsidRPr="00D62793">
        <w:t>Vice President of Business</w:t>
      </w:r>
      <w:r w:rsidRPr="00D62793">
        <w:t xml:space="preserve"> Operations can provide the beginning </w:t>
      </w:r>
      <w:r w:rsidR="00BE6415" w:rsidRPr="00D62793">
        <w:t>20</w:t>
      </w:r>
      <w:r w:rsidR="004223FD" w:rsidRPr="00D62793">
        <w:t>18</w:t>
      </w:r>
      <w:r w:rsidRPr="00D62793">
        <w:t xml:space="preserve"> customer CAB amount if it is not clear in </w:t>
      </w:r>
      <w:r w:rsidR="00A97075" w:rsidRPr="00D62793">
        <w:t>S</w:t>
      </w:r>
      <w:r w:rsidRPr="00D62793">
        <w:t>ales</w:t>
      </w:r>
      <w:r w:rsidRPr="00D62793">
        <w:rPr>
          <w:i/>
        </w:rPr>
        <w:t>f</w:t>
      </w:r>
      <w:r w:rsidRPr="00D62793">
        <w:t>orce.</w:t>
      </w:r>
    </w:p>
    <w:p w14:paraId="6DA67173" w14:textId="77777777" w:rsidR="007B4A0D" w:rsidRPr="00D62793" w:rsidRDefault="007B4A0D" w:rsidP="00720BAD">
      <w:pPr>
        <w:pStyle w:val="Heading4"/>
        <w:rPr>
          <w:color w:val="auto"/>
        </w:rPr>
      </w:pPr>
      <w:r w:rsidRPr="00D62793">
        <w:rPr>
          <w:color w:val="auto"/>
        </w:rPr>
        <w:t>Exceptions</w:t>
      </w:r>
    </w:p>
    <w:p w14:paraId="255B3FEA" w14:textId="77777777" w:rsidR="007B4A0D" w:rsidRPr="00D62793" w:rsidRDefault="007B4A0D" w:rsidP="007B4A0D">
      <w:r w:rsidRPr="00D62793">
        <w:t>Exceptions to the general rule when revenue is not recognized up front are listed below</w:t>
      </w:r>
    </w:p>
    <w:p w14:paraId="38AFC6A8" w14:textId="63E9EE89" w:rsidR="007B4A0D" w:rsidRPr="00D62793" w:rsidRDefault="007B4A0D" w:rsidP="00720BAD">
      <w:pPr>
        <w:pStyle w:val="Heading4"/>
        <w:rPr>
          <w:color w:val="auto"/>
        </w:rPr>
      </w:pPr>
      <w:r w:rsidRPr="00D62793">
        <w:rPr>
          <w:color w:val="auto"/>
        </w:rPr>
        <w:t>Multi-Year</w:t>
      </w:r>
      <w:r w:rsidR="00A83364" w:rsidRPr="00D62793">
        <w:rPr>
          <w:color w:val="auto"/>
        </w:rPr>
        <w:t xml:space="preserve"> New</w:t>
      </w:r>
      <w:r w:rsidRPr="00D62793">
        <w:rPr>
          <w:color w:val="auto"/>
        </w:rPr>
        <w:t xml:space="preserve"> Deal</w:t>
      </w:r>
    </w:p>
    <w:p w14:paraId="4A64DBEB" w14:textId="6A5E9134" w:rsidR="007B4A0D" w:rsidRPr="00D62793" w:rsidRDefault="00CC5B55" w:rsidP="00C502B9">
      <w:pPr>
        <w:jc w:val="both"/>
      </w:pPr>
      <w:r w:rsidRPr="00D62793">
        <w:t>When a subscription is greater than the Company’s standard subscription term and the full</w:t>
      </w:r>
      <w:r w:rsidR="00AB31C7" w:rsidRPr="00D62793">
        <w:t xml:space="preserve"> contract</w:t>
      </w:r>
      <w:r w:rsidRPr="00D62793">
        <w:t xml:space="preserve"> term is invoiced upon close of the transaction, the </w:t>
      </w:r>
      <w:r w:rsidR="00C502B9" w:rsidRPr="00D62793">
        <w:t>Participant</w:t>
      </w:r>
      <w:r w:rsidRPr="00D62793">
        <w:t xml:space="preserve"> is eligible for Sales Credit on the </w:t>
      </w:r>
      <w:r w:rsidR="00AB31C7" w:rsidRPr="00D62793">
        <w:t>T</w:t>
      </w:r>
      <w:r w:rsidR="001A6C3E" w:rsidRPr="00D62793">
        <w:t xml:space="preserve">otal </w:t>
      </w:r>
      <w:r w:rsidR="00FB6F54" w:rsidRPr="00D62793">
        <w:t>Contract</w:t>
      </w:r>
      <w:r w:rsidR="00AB31C7" w:rsidRPr="00D62793">
        <w:t xml:space="preserve"> value</w:t>
      </w:r>
      <w:r w:rsidR="00FB6F54" w:rsidRPr="00D62793">
        <w:t xml:space="preserve"> of the term, Commission for the initial 12 month term will be calculated </w:t>
      </w:r>
      <w:r w:rsidRPr="00D62793">
        <w:t xml:space="preserve">at the Commission </w:t>
      </w:r>
      <w:r w:rsidR="00A30536" w:rsidRPr="00D62793">
        <w:t>rate</w:t>
      </w:r>
      <w:r w:rsidRPr="00D62793">
        <w:t xml:space="preserve"> in effect at the close of the transaction</w:t>
      </w:r>
      <w:r w:rsidR="00FB6F54" w:rsidRPr="00D62793">
        <w:t>, Year 2 or beyond will provide a bonus payment of 5% for the re-occurring 12 month annuity of the transaction</w:t>
      </w:r>
      <w:r w:rsidRPr="00D62793">
        <w:t xml:space="preserve">. </w:t>
      </w:r>
    </w:p>
    <w:p w14:paraId="1A55ABC0" w14:textId="21C80640" w:rsidR="00CC5B55" w:rsidRPr="00D62793" w:rsidRDefault="00CC5B55" w:rsidP="00C502B9">
      <w:pPr>
        <w:jc w:val="both"/>
      </w:pPr>
      <w:r w:rsidRPr="00D62793">
        <w:t xml:space="preserve">When a subscription is greater than the Company’s standard subscription term and </w:t>
      </w:r>
      <w:r w:rsidRPr="00D62793">
        <w:rPr>
          <w:i/>
        </w:rPr>
        <w:t xml:space="preserve">only </w:t>
      </w:r>
      <w:r w:rsidRPr="00D62793">
        <w:t xml:space="preserve">the first term is invoiced upon close of the transaction, the salesperson is </w:t>
      </w:r>
      <w:r w:rsidRPr="00D62793">
        <w:rPr>
          <w:i/>
        </w:rPr>
        <w:t xml:space="preserve">only </w:t>
      </w:r>
      <w:r w:rsidRPr="00D62793">
        <w:t xml:space="preserve">eligible for Sales Credit on the first 12 months of the term at the Commission </w:t>
      </w:r>
      <w:r w:rsidR="00A30536" w:rsidRPr="00D62793">
        <w:t>rate</w:t>
      </w:r>
      <w:r w:rsidRPr="00D62793">
        <w:t xml:space="preserve"> in effect at the close of the transaction. </w:t>
      </w:r>
    </w:p>
    <w:p w14:paraId="04B22AE0" w14:textId="282315E5" w:rsidR="00A83364" w:rsidRPr="00D62793" w:rsidRDefault="00A83364" w:rsidP="00A83364">
      <w:pPr>
        <w:pStyle w:val="Heading4"/>
        <w:rPr>
          <w:color w:val="auto"/>
        </w:rPr>
      </w:pPr>
      <w:r w:rsidRPr="00D62793">
        <w:rPr>
          <w:color w:val="auto"/>
        </w:rPr>
        <w:t>Multi-Year Upsell Deal</w:t>
      </w:r>
    </w:p>
    <w:p w14:paraId="4223983C" w14:textId="052D790A" w:rsidR="00A83364" w:rsidRPr="00D62793" w:rsidRDefault="00A83364" w:rsidP="00A83364">
      <w:pPr>
        <w:jc w:val="both"/>
      </w:pPr>
      <w:r w:rsidRPr="00D62793">
        <w:t xml:space="preserve">When a subscription is greater than the Company’s standard subscription term and the full co-terminus contract term is invoiced upon close of the transaction, the Participant is eligible for Sales Credit on the Total Annuity value of the term at the Commission rate in effect at the close of the transaction. </w:t>
      </w:r>
    </w:p>
    <w:p w14:paraId="6A940CDC" w14:textId="57533C74" w:rsidR="00A83364" w:rsidRPr="00D62793" w:rsidRDefault="00A83364" w:rsidP="00A83364">
      <w:pPr>
        <w:jc w:val="both"/>
      </w:pPr>
      <w:r w:rsidRPr="00D62793">
        <w:t xml:space="preserve">When an Upsell subscription is greater than the Company’s standard co-terminus subscription term and </w:t>
      </w:r>
      <w:r w:rsidRPr="00D62793">
        <w:rPr>
          <w:i/>
        </w:rPr>
        <w:t xml:space="preserve">only </w:t>
      </w:r>
      <w:r w:rsidRPr="00D62793">
        <w:t xml:space="preserve">the co-terminus portion of the term is invoiced upon close of the transaction, the salesperson is </w:t>
      </w:r>
      <w:r w:rsidRPr="00D62793">
        <w:rPr>
          <w:i/>
        </w:rPr>
        <w:t xml:space="preserve">only </w:t>
      </w:r>
      <w:r w:rsidRPr="00D62793">
        <w:t xml:space="preserve">eligible for Sales Credit on the co-terminus months of the term at the Commission rate in effect at the close of the transaction. </w:t>
      </w:r>
    </w:p>
    <w:p w14:paraId="63AAB55F" w14:textId="77777777" w:rsidR="00AC648C" w:rsidRPr="00D62793" w:rsidRDefault="00AC648C" w:rsidP="00720BAD">
      <w:pPr>
        <w:pStyle w:val="Heading2"/>
        <w:rPr>
          <w:color w:val="auto"/>
        </w:rPr>
      </w:pPr>
      <w:bookmarkStart w:id="41" w:name="_Toc254258167"/>
      <w:bookmarkStart w:id="42" w:name="_Toc254258359"/>
      <w:bookmarkStart w:id="43" w:name="_Toc254258780"/>
      <w:bookmarkStart w:id="44" w:name="_Toc443472294"/>
      <w:bookmarkStart w:id="45" w:name="_Toc472922367"/>
      <w:r w:rsidRPr="00D62793">
        <w:rPr>
          <w:color w:val="auto"/>
        </w:rPr>
        <w:t>Revenue Allocation</w:t>
      </w:r>
      <w:bookmarkEnd w:id="41"/>
      <w:bookmarkEnd w:id="42"/>
      <w:bookmarkEnd w:id="43"/>
      <w:bookmarkEnd w:id="44"/>
      <w:bookmarkEnd w:id="45"/>
    </w:p>
    <w:p w14:paraId="26FCE870" w14:textId="681FE6C0" w:rsidR="00AC648C" w:rsidRPr="00D62793" w:rsidRDefault="00AC648C" w:rsidP="00C502B9">
      <w:pPr>
        <w:jc w:val="both"/>
      </w:pPr>
      <w:r w:rsidRPr="00D62793">
        <w:t>Generally, Sales Credit follows Revenue credit. Sales Credit (</w:t>
      </w:r>
      <w:r w:rsidR="001A6C3E" w:rsidRPr="00D62793">
        <w:t>considering</w:t>
      </w:r>
      <w:r w:rsidRPr="00D62793">
        <w:t xml:space="preserve"> split credits and/or Teaming Agreements) will be credited </w:t>
      </w:r>
      <w:r w:rsidR="00C502B9" w:rsidRPr="00D62793">
        <w:t>u</w:t>
      </w:r>
      <w:r w:rsidRPr="00D62793">
        <w:t xml:space="preserve">pon Revenue Recognition to the </w:t>
      </w:r>
      <w:r w:rsidR="00C502B9" w:rsidRPr="00D62793">
        <w:t>Participant</w:t>
      </w:r>
      <w:r w:rsidRPr="00D62793">
        <w:t xml:space="preserve"> or </w:t>
      </w:r>
      <w:r w:rsidR="00C502B9" w:rsidRPr="00D62793">
        <w:t>Participant</w:t>
      </w:r>
      <w:r w:rsidRPr="00D62793">
        <w:t xml:space="preserve">(s) responsible for booking the transaction based on the </w:t>
      </w:r>
      <w:r w:rsidR="00C502B9" w:rsidRPr="00D62793">
        <w:t>Participant</w:t>
      </w:r>
      <w:r w:rsidR="003C7757" w:rsidRPr="00D62793">
        <w:t>’s</w:t>
      </w:r>
      <w:r w:rsidRPr="00D62793">
        <w:t xml:space="preserve"> Plan at the time of Booking. This includes cases where revenue recognition occurs after booking (e.g. deferred Revenue and transactions booked but not invoiced).</w:t>
      </w:r>
    </w:p>
    <w:p w14:paraId="4F6DCBE1" w14:textId="77777777" w:rsidR="00AC648C" w:rsidRPr="00D62793" w:rsidRDefault="00AC648C" w:rsidP="00720BAD">
      <w:pPr>
        <w:pStyle w:val="Heading2"/>
        <w:rPr>
          <w:color w:val="auto"/>
        </w:rPr>
      </w:pPr>
      <w:bookmarkStart w:id="46" w:name="_Toc254258168"/>
      <w:bookmarkStart w:id="47" w:name="_Toc254258360"/>
      <w:bookmarkStart w:id="48" w:name="_Toc254258781"/>
      <w:bookmarkStart w:id="49" w:name="_Toc443472295"/>
      <w:bookmarkStart w:id="50" w:name="_Toc472922368"/>
      <w:r w:rsidRPr="00D62793">
        <w:rPr>
          <w:color w:val="auto"/>
        </w:rPr>
        <w:lastRenderedPageBreak/>
        <w:t>Bonuses</w:t>
      </w:r>
      <w:bookmarkEnd w:id="46"/>
      <w:bookmarkEnd w:id="47"/>
      <w:bookmarkEnd w:id="48"/>
      <w:bookmarkEnd w:id="49"/>
      <w:bookmarkEnd w:id="50"/>
    </w:p>
    <w:p w14:paraId="4233639C" w14:textId="6A8E1BC3" w:rsidR="00801A1E" w:rsidRPr="00D62793" w:rsidRDefault="001A6C3E" w:rsidP="00C502B9">
      <w:pPr>
        <w:pStyle w:val="ListParagraph"/>
        <w:ind w:left="0"/>
        <w:jc w:val="both"/>
      </w:pPr>
      <w:r w:rsidRPr="00D62793">
        <w:t>To</w:t>
      </w:r>
      <w:r w:rsidR="00AC648C" w:rsidRPr="00D62793">
        <w:t xml:space="preserve"> be considered eligible for any Bonus, including but not limited to SPIF Incentive, a </w:t>
      </w:r>
      <w:r w:rsidR="00C502B9" w:rsidRPr="00D62793">
        <w:t>Participant</w:t>
      </w:r>
      <w:r w:rsidR="00AC648C" w:rsidRPr="00D62793">
        <w:t xml:space="preserve"> must be employed by the Company through the last business day of the applicable Bonus period.</w:t>
      </w:r>
    </w:p>
    <w:p w14:paraId="48812E97" w14:textId="77777777" w:rsidR="00801A1E" w:rsidRPr="00D62793" w:rsidRDefault="00801A1E" w:rsidP="00AC648C">
      <w:pPr>
        <w:pStyle w:val="ListParagraph"/>
        <w:ind w:left="0"/>
      </w:pPr>
    </w:p>
    <w:p w14:paraId="4D7847FA" w14:textId="77777777" w:rsidR="00EB64A1" w:rsidRPr="00D62793" w:rsidRDefault="00EB64A1">
      <w:pPr>
        <w:rPr>
          <w:rFonts w:asciiTheme="majorHAnsi" w:eastAsiaTheme="majorEastAsia" w:hAnsiTheme="majorHAnsi" w:cstheme="majorBidi"/>
          <w:b/>
          <w:bCs/>
          <w:sz w:val="28"/>
          <w:szCs w:val="28"/>
        </w:rPr>
      </w:pPr>
      <w:bookmarkStart w:id="51" w:name="_Toc254258169"/>
      <w:bookmarkStart w:id="52" w:name="_Toc254258361"/>
      <w:bookmarkStart w:id="53" w:name="_Toc254258782"/>
      <w:r w:rsidRPr="00D62793">
        <w:br w:type="page"/>
      </w:r>
    </w:p>
    <w:p w14:paraId="1EE5254F" w14:textId="05489B3E" w:rsidR="00801A1E" w:rsidRPr="00D62793" w:rsidRDefault="00801A1E" w:rsidP="00720BAD">
      <w:pPr>
        <w:pStyle w:val="Heading1"/>
        <w:rPr>
          <w:color w:val="auto"/>
        </w:rPr>
      </w:pPr>
      <w:bookmarkStart w:id="54" w:name="_Toc443472296"/>
      <w:bookmarkStart w:id="55" w:name="_Toc472922369"/>
      <w:r w:rsidRPr="00D62793">
        <w:rPr>
          <w:color w:val="auto"/>
        </w:rPr>
        <w:lastRenderedPageBreak/>
        <w:t>Appendix 2: Additional Meanings</w:t>
      </w:r>
      <w:bookmarkEnd w:id="51"/>
      <w:bookmarkEnd w:id="52"/>
      <w:bookmarkEnd w:id="53"/>
      <w:bookmarkEnd w:id="54"/>
      <w:bookmarkEnd w:id="55"/>
    </w:p>
    <w:p w14:paraId="57D501FE" w14:textId="77777777" w:rsidR="00801A1E" w:rsidRPr="00D62793" w:rsidRDefault="00801A1E" w:rsidP="00801A1E">
      <w:pPr>
        <w:rPr>
          <w:sz w:val="16"/>
          <w:szCs w:val="16"/>
        </w:rPr>
      </w:pPr>
    </w:p>
    <w:p w14:paraId="21BA5341" w14:textId="77777777" w:rsidR="00801A1E" w:rsidRPr="00D62793" w:rsidRDefault="00801A1E" w:rsidP="00720BAD">
      <w:pPr>
        <w:pStyle w:val="Heading4"/>
        <w:rPr>
          <w:color w:val="auto"/>
        </w:rPr>
      </w:pPr>
      <w:r w:rsidRPr="00D62793">
        <w:rPr>
          <w:color w:val="auto"/>
        </w:rPr>
        <w:t>Sales Target Bonus</w:t>
      </w:r>
    </w:p>
    <w:p w14:paraId="0418A043" w14:textId="58ACCD70" w:rsidR="00A016CB" w:rsidRPr="00D62793" w:rsidRDefault="00A016CB" w:rsidP="0034496A">
      <w:pPr>
        <w:jc w:val="both"/>
      </w:pPr>
      <w:r w:rsidRPr="00D62793">
        <w:t xml:space="preserve">Individualized Compensation Plan for </w:t>
      </w:r>
      <w:r w:rsidR="0034496A" w:rsidRPr="00D62793">
        <w:t>Participants</w:t>
      </w:r>
      <w:r w:rsidR="003C7757" w:rsidRPr="00D62793">
        <w:t xml:space="preserve"> will</w:t>
      </w:r>
      <w:r w:rsidRPr="00D62793">
        <w:t xml:space="preserve"> indicate </w:t>
      </w:r>
      <w:r w:rsidR="001A6C3E" w:rsidRPr="00D62793">
        <w:t>whether</w:t>
      </w:r>
      <w:r w:rsidRPr="00D62793">
        <w:t xml:space="preserve"> performance against the target of the applicable group </w:t>
      </w:r>
      <w:r w:rsidR="003C7757" w:rsidRPr="00D62793">
        <w:t>will</w:t>
      </w:r>
      <w:r w:rsidRPr="00D62793">
        <w:t xml:space="preserve"> result in payment from a pool or an assigned target on the Individualized Compensation Plan. For all plans not linked to a pool, payment will be based on the performance against the target and the applicable commission rate in effect at the time of calculation of the Commission.</w:t>
      </w:r>
    </w:p>
    <w:p w14:paraId="3FC8CDEE" w14:textId="77777777" w:rsidR="00A016CB" w:rsidRPr="00D62793" w:rsidRDefault="00A016CB" w:rsidP="00720BAD">
      <w:pPr>
        <w:pStyle w:val="Heading4"/>
        <w:rPr>
          <w:color w:val="auto"/>
        </w:rPr>
      </w:pPr>
      <w:proofErr w:type="spellStart"/>
      <w:r w:rsidRPr="00D62793">
        <w:rPr>
          <w:color w:val="auto"/>
        </w:rPr>
        <w:t>Clawbacks</w:t>
      </w:r>
      <w:proofErr w:type="spellEnd"/>
      <w:r w:rsidRPr="00D62793">
        <w:rPr>
          <w:color w:val="auto"/>
        </w:rPr>
        <w:t>, Givebacks, and Credit Memos</w:t>
      </w:r>
    </w:p>
    <w:p w14:paraId="15910805" w14:textId="70A753B0" w:rsidR="00A016CB" w:rsidRPr="00D62793" w:rsidRDefault="00A016CB" w:rsidP="0034496A">
      <w:pPr>
        <w:jc w:val="both"/>
      </w:pPr>
      <w:r w:rsidRPr="00D62793">
        <w:t xml:space="preserve">If a </w:t>
      </w:r>
      <w:r w:rsidR="00B078B0" w:rsidRPr="00D62793">
        <w:t>customer’s</w:t>
      </w:r>
      <w:r w:rsidRPr="00D62793">
        <w:t xml:space="preserve"> account receivable become greater than the limit set by the Company’s </w:t>
      </w:r>
      <w:r w:rsidR="00A97075" w:rsidRPr="00D62793">
        <w:t xml:space="preserve">Vice President </w:t>
      </w:r>
      <w:r w:rsidR="007A3692" w:rsidRPr="00D62793">
        <w:t>of Finance</w:t>
      </w:r>
      <w:r w:rsidRPr="00D62793">
        <w:t xml:space="preserve"> for days past due, all prior Commission, Sales Credits or Bonus credits associated with the sale are recoverable (“Clawed back”) </w:t>
      </w:r>
      <w:r w:rsidR="00B078B0" w:rsidRPr="00D62793">
        <w:t>against</w:t>
      </w:r>
      <w:r w:rsidRPr="00D62793">
        <w:t xml:space="preserve"> current </w:t>
      </w:r>
      <w:r w:rsidR="0034496A" w:rsidRPr="00D62793">
        <w:t xml:space="preserve">incentive </w:t>
      </w:r>
      <w:r w:rsidR="00925ABB" w:rsidRPr="00D62793">
        <w:t>compensation</w:t>
      </w:r>
      <w:r w:rsidRPr="00D62793">
        <w:t>.</w:t>
      </w:r>
    </w:p>
    <w:p w14:paraId="77ED5226" w14:textId="4C8DEC3E" w:rsidR="00A016CB" w:rsidRPr="00D62793" w:rsidRDefault="0034496A" w:rsidP="0034496A">
      <w:pPr>
        <w:jc w:val="both"/>
      </w:pPr>
      <w:r w:rsidRPr="00D62793">
        <w:t>Incentive compensation r</w:t>
      </w:r>
      <w:r w:rsidR="00A016CB" w:rsidRPr="00D62793">
        <w:t xml:space="preserve">ecoveries may cause a negative compensation balance, which is considered an advance against </w:t>
      </w:r>
      <w:r w:rsidRPr="00D62793">
        <w:t xml:space="preserve">incentive </w:t>
      </w:r>
      <w:r w:rsidR="00A016CB" w:rsidRPr="00D62793">
        <w:t xml:space="preserve">compensation. </w:t>
      </w:r>
      <w:r w:rsidRPr="00D62793">
        <w:t xml:space="preserve">Incentive compensation </w:t>
      </w:r>
      <w:r w:rsidR="00A016CB" w:rsidRPr="00D62793">
        <w:t xml:space="preserve">payments will </w:t>
      </w:r>
      <w:r w:rsidRPr="00D62793">
        <w:t xml:space="preserve">NOT </w:t>
      </w:r>
      <w:r w:rsidR="00A016CB" w:rsidRPr="00D62793">
        <w:t xml:space="preserve">be made to </w:t>
      </w:r>
      <w:r w:rsidRPr="00D62793">
        <w:t>Participants</w:t>
      </w:r>
      <w:r w:rsidR="00A016CB" w:rsidRPr="00D62793">
        <w:t xml:space="preserve"> with a negative </w:t>
      </w:r>
      <w:r w:rsidRPr="00D62793">
        <w:t xml:space="preserve">incentive </w:t>
      </w:r>
      <w:r w:rsidR="00A016CB" w:rsidRPr="00D62793">
        <w:t>compensation balance until the entire negative balance has been offset in full</w:t>
      </w:r>
      <w:r w:rsidR="00B078B0" w:rsidRPr="00D62793">
        <w:t>.</w:t>
      </w:r>
    </w:p>
    <w:p w14:paraId="66756DB2" w14:textId="1CB48D29" w:rsidR="00B078B0" w:rsidRPr="00D62793" w:rsidRDefault="00B078B0" w:rsidP="0034496A">
      <w:pPr>
        <w:jc w:val="both"/>
      </w:pPr>
      <w:r w:rsidRPr="00D62793">
        <w:t>Recovered Sales Credits (“</w:t>
      </w:r>
      <w:proofErr w:type="spellStart"/>
      <w:r w:rsidRPr="00D62793">
        <w:t>Clawbacks</w:t>
      </w:r>
      <w:proofErr w:type="spellEnd"/>
      <w:r w:rsidRPr="00D62793">
        <w:t xml:space="preserve">”) result in a corresponding reduction in attainment in the month of recovery and a corresponding recovery of </w:t>
      </w:r>
      <w:r w:rsidR="0034496A" w:rsidRPr="00D62793">
        <w:t>incentive compensation</w:t>
      </w:r>
      <w:r w:rsidRPr="00D62793">
        <w:t xml:space="preserve"> in the current month. If the account is paid </w:t>
      </w:r>
      <w:r w:rsidR="001A6C3E" w:rsidRPr="00D62793">
        <w:t>later</w:t>
      </w:r>
      <w:r w:rsidR="0034496A" w:rsidRPr="00D62793">
        <w:t xml:space="preserve">, the associated incentive </w:t>
      </w:r>
      <w:r w:rsidR="00925ABB" w:rsidRPr="00D62793">
        <w:t>compensation</w:t>
      </w:r>
      <w:r w:rsidRPr="00D62793">
        <w:t xml:space="preserve"> </w:t>
      </w:r>
      <w:r w:rsidR="001A6C3E" w:rsidRPr="00D62793">
        <w:t>is</w:t>
      </w:r>
      <w:r w:rsidRPr="00D62793">
        <w:t xml:space="preserve"> restored </w:t>
      </w:r>
      <w:r w:rsidR="001A6C3E" w:rsidRPr="00D62793">
        <w:t>(” given</w:t>
      </w:r>
      <w:r w:rsidRPr="00D62793">
        <w:t xml:space="preserve"> back”) to the original </w:t>
      </w:r>
      <w:r w:rsidR="0034496A" w:rsidRPr="00D62793">
        <w:t xml:space="preserve">Participant </w:t>
      </w:r>
      <w:r w:rsidR="001A6C3E" w:rsidRPr="00D62793">
        <w:t>if</w:t>
      </w:r>
      <w:r w:rsidR="0034496A" w:rsidRPr="00D62793">
        <w:t xml:space="preserve"> the </w:t>
      </w:r>
      <w:r w:rsidR="00925ABB" w:rsidRPr="00D62793">
        <w:t>Participant</w:t>
      </w:r>
      <w:r w:rsidR="0034496A" w:rsidRPr="00D62793">
        <w:t xml:space="preserve"> is an employee</w:t>
      </w:r>
      <w:r w:rsidRPr="00D62793">
        <w:t>.</w:t>
      </w:r>
    </w:p>
    <w:p w14:paraId="41FE231A" w14:textId="23DDF226" w:rsidR="00B078B0" w:rsidRPr="00D62793" w:rsidRDefault="00B078B0" w:rsidP="0034496A">
      <w:pPr>
        <w:jc w:val="both"/>
      </w:pPr>
      <w:r w:rsidRPr="00D62793">
        <w:t xml:space="preserve">If an account is </w:t>
      </w:r>
      <w:r w:rsidR="001A6C3E" w:rsidRPr="00D62793">
        <w:t xml:space="preserve">issued a </w:t>
      </w:r>
      <w:r w:rsidRPr="00D62793">
        <w:t xml:space="preserve">Credit Memo, or deemed uncollectable under the terms of the Company’s account policies and written-off, all prior </w:t>
      </w:r>
      <w:r w:rsidR="0034496A" w:rsidRPr="00D62793">
        <w:t>incentive compensation assoc</w:t>
      </w:r>
      <w:r w:rsidRPr="00D62793">
        <w:t xml:space="preserve">iated with the sales are recoverable against current </w:t>
      </w:r>
      <w:r w:rsidR="0034496A" w:rsidRPr="00D62793">
        <w:t>incentive compensation</w:t>
      </w:r>
      <w:r w:rsidRPr="00D62793">
        <w:t xml:space="preserve"> from the </w:t>
      </w:r>
      <w:r w:rsidR="0034496A" w:rsidRPr="00D62793">
        <w:t>Participant</w:t>
      </w:r>
      <w:r w:rsidRPr="00D62793">
        <w:t>.</w:t>
      </w:r>
    </w:p>
    <w:p w14:paraId="4D956354" w14:textId="77777777" w:rsidR="00B078B0" w:rsidRPr="00D62793" w:rsidRDefault="00B078B0" w:rsidP="00801A1E">
      <w:proofErr w:type="spellStart"/>
      <w:r w:rsidRPr="00D62793">
        <w:t>Clawbacks</w:t>
      </w:r>
      <w:proofErr w:type="spellEnd"/>
      <w:r w:rsidRPr="00D62793">
        <w:t>, Credit Memos, and Givebacks will be applied at the applicable Commission or Bonus rates of the original plan in effect at the time the Sales Credit was originally calculated.</w:t>
      </w:r>
    </w:p>
    <w:p w14:paraId="771060E8" w14:textId="77777777" w:rsidR="00B078B0" w:rsidRPr="00D62793" w:rsidRDefault="00B078B0" w:rsidP="00117D79">
      <w:pPr>
        <w:jc w:val="both"/>
      </w:pPr>
      <w:r w:rsidRPr="00D62793">
        <w:t xml:space="preserve">Employees paid on Sales Credit will be paid based on transactions following revenue recognition, including </w:t>
      </w:r>
      <w:proofErr w:type="spellStart"/>
      <w:r w:rsidRPr="00D62793">
        <w:t>clawbacks</w:t>
      </w:r>
      <w:proofErr w:type="spellEnd"/>
      <w:r w:rsidRPr="00D62793">
        <w:t xml:space="preserve"> and givebacks.</w:t>
      </w:r>
    </w:p>
    <w:p w14:paraId="451A74E7" w14:textId="77777777" w:rsidR="00EB64A1" w:rsidRPr="00D62793" w:rsidRDefault="00EB64A1" w:rsidP="00720BAD">
      <w:pPr>
        <w:pStyle w:val="Heading4"/>
        <w:rPr>
          <w:color w:val="auto"/>
        </w:rPr>
      </w:pPr>
      <w:r w:rsidRPr="00D62793">
        <w:rPr>
          <w:color w:val="auto"/>
        </w:rPr>
        <w:t>Earning of Commissions and Bonuses</w:t>
      </w:r>
    </w:p>
    <w:p w14:paraId="23039790" w14:textId="21D60CD6" w:rsidR="00EB64A1" w:rsidRPr="00D62793" w:rsidRDefault="00EB64A1" w:rsidP="00EB64A1">
      <w:pPr>
        <w:spacing w:after="120"/>
        <w:jc w:val="both"/>
        <w:rPr>
          <w:bCs/>
        </w:rPr>
      </w:pPr>
      <w:r w:rsidRPr="00D62793">
        <w:rPr>
          <w:bCs/>
        </w:rPr>
        <w:t xml:space="preserve">Commissions and Bonuses become </w:t>
      </w:r>
      <w:r w:rsidRPr="00D62793">
        <w:rPr>
          <w:b/>
        </w:rPr>
        <w:t>“earned”</w:t>
      </w:r>
      <w:r w:rsidRPr="00D62793">
        <w:rPr>
          <w:bCs/>
        </w:rPr>
        <w:t xml:space="preserve"> by the Salesperson upon </w:t>
      </w:r>
      <w:r w:rsidR="001A6C3E" w:rsidRPr="00D62793">
        <w:rPr>
          <w:b/>
          <w:bCs/>
        </w:rPr>
        <w:t>all</w:t>
      </w:r>
      <w:r w:rsidRPr="00D62793">
        <w:rPr>
          <w:bCs/>
        </w:rPr>
        <w:t xml:space="preserve"> the following events during the Sales Period:</w:t>
      </w:r>
    </w:p>
    <w:p w14:paraId="5BDA3A64" w14:textId="77777777" w:rsidR="00EB64A1" w:rsidRPr="00D62793" w:rsidRDefault="00EB64A1" w:rsidP="00EB64A1">
      <w:pPr>
        <w:pStyle w:val="ListParagraph"/>
        <w:numPr>
          <w:ilvl w:val="1"/>
          <w:numId w:val="17"/>
        </w:numPr>
        <w:jc w:val="both"/>
        <w:rPr>
          <w:bCs/>
        </w:rPr>
      </w:pPr>
      <w:r w:rsidRPr="00D62793">
        <w:rPr>
          <w:bCs/>
        </w:rPr>
        <w:t>Upon a customer’s order being Booked by the Company.</w:t>
      </w:r>
    </w:p>
    <w:p w14:paraId="5DFEE851" w14:textId="77777777" w:rsidR="00EB64A1" w:rsidRPr="00D62793" w:rsidRDefault="00EB64A1" w:rsidP="00EB64A1">
      <w:pPr>
        <w:pStyle w:val="ListParagraph"/>
        <w:numPr>
          <w:ilvl w:val="1"/>
          <w:numId w:val="17"/>
        </w:numPr>
        <w:jc w:val="both"/>
        <w:rPr>
          <w:bCs/>
        </w:rPr>
      </w:pPr>
      <w:r w:rsidRPr="00D62793">
        <w:rPr>
          <w:bCs/>
        </w:rPr>
        <w:t>Upon delivery to the customer from the Company.</w:t>
      </w:r>
    </w:p>
    <w:p w14:paraId="17234B09" w14:textId="77777777" w:rsidR="00EB64A1" w:rsidRPr="00D62793" w:rsidRDefault="00EB64A1" w:rsidP="00EB64A1">
      <w:pPr>
        <w:pStyle w:val="ListParagraph"/>
        <w:numPr>
          <w:ilvl w:val="1"/>
          <w:numId w:val="17"/>
        </w:numPr>
        <w:spacing w:after="120"/>
        <w:ind w:left="1080" w:firstLine="0"/>
        <w:contextualSpacing w:val="0"/>
        <w:jc w:val="both"/>
        <w:rPr>
          <w:bCs/>
        </w:rPr>
      </w:pPr>
      <w:r w:rsidRPr="00D62793">
        <w:rPr>
          <w:bCs/>
        </w:rPr>
        <w:t>Upon receipt of Payment from the Customer.</w:t>
      </w:r>
    </w:p>
    <w:p w14:paraId="4A62AADA" w14:textId="2A6DCDFA" w:rsidR="00A57307" w:rsidRPr="00D62793" w:rsidRDefault="00EB64A1" w:rsidP="00EB64A1">
      <w:pPr>
        <w:jc w:val="both"/>
      </w:pPr>
      <w:r w:rsidRPr="00D62793">
        <w:rPr>
          <w:bCs/>
        </w:rPr>
        <w:t>It is understood that after the sale, the Salesperson is expected to assist with ensuring customer satisfaction of the deliverables and assist in ensuring that Payment is promptly made.</w:t>
      </w:r>
    </w:p>
    <w:sectPr w:rsidR="00A57307" w:rsidRPr="00D62793" w:rsidSect="00AD306F">
      <w:footerReference w:type="default" r:id="rId9"/>
      <w:pgSz w:w="12240" w:h="15840"/>
      <w:pgMar w:top="1440" w:right="1440" w:bottom="1440" w:left="153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7816A" w14:textId="77777777" w:rsidR="005B1043" w:rsidRDefault="005B1043" w:rsidP="00E651AC">
      <w:pPr>
        <w:spacing w:after="0" w:line="240" w:lineRule="auto"/>
      </w:pPr>
      <w:r>
        <w:separator/>
      </w:r>
    </w:p>
  </w:endnote>
  <w:endnote w:type="continuationSeparator" w:id="0">
    <w:p w14:paraId="69FECC68" w14:textId="77777777" w:rsidR="005B1043" w:rsidRDefault="005B1043" w:rsidP="00E6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C1C28" w14:textId="1C3D9609" w:rsidR="005158CF" w:rsidRPr="006C5F10" w:rsidRDefault="005B1043" w:rsidP="006C5F10">
    <w:pPr>
      <w:pStyle w:val="Footer"/>
      <w:pBdr>
        <w:top w:val="single" w:sz="4" w:space="1" w:color="D9D9D9" w:themeColor="background1" w:themeShade="D9"/>
      </w:pBdr>
      <w:rPr>
        <w:b/>
      </w:rPr>
    </w:pPr>
    <w:sdt>
      <w:sdtPr>
        <w:alias w:val="Subject"/>
        <w:id w:val="1483445"/>
        <w:dataBinding w:prefixMappings="xmlns:ns0='http://purl.org/dc/elements/1.1/' xmlns:ns1='http://schemas.openxmlformats.org/package/2006/metadata/core-properties' " w:xpath="/ns1:coreProperties[1]/ns0:subject[1]" w:storeItemID="{6C3C8BC8-F283-45AE-878A-BAB7291924A1}"/>
        <w:text/>
      </w:sdtPr>
      <w:sdtEndPr/>
      <w:sdtContent>
        <w:r w:rsidR="000A060A">
          <w:t>FY</w:t>
        </w:r>
        <w:r w:rsidR="00BE6415">
          <w:t>20</w:t>
        </w:r>
        <w:r w:rsidR="00FA1529">
          <w:t>xx</w:t>
        </w:r>
        <w:r w:rsidR="005158CF">
          <w:t xml:space="preserve"> Compensation Terms and Conditions</w:t>
        </w:r>
      </w:sdtContent>
    </w:sdt>
    <w:r w:rsidR="005158CF">
      <w:tab/>
    </w:r>
    <w:sdt>
      <w:sdtPr>
        <w:alias w:val="Title"/>
        <w:id w:val="1483656"/>
        <w:dataBinding w:prefixMappings="xmlns:ns0='http://purl.org/dc/elements/1.1/' xmlns:ns1='http://schemas.openxmlformats.org/package/2006/metadata/core-properties' " w:xpath="/ns1:coreProperties[1]/ns0:title[1]" w:storeItemID="{6C3C8BC8-F283-45AE-878A-BAB7291924A1}"/>
        <w:text/>
      </w:sdtPr>
      <w:sdtEndPr/>
      <w:sdtContent>
        <w:r w:rsidR="005158CF">
          <w:t>Version 1.0.0</w:t>
        </w:r>
      </w:sdtContent>
    </w:sdt>
    <w:r w:rsidR="005158CF">
      <w:tab/>
    </w:r>
    <w:sdt>
      <w:sdtPr>
        <w:id w:val="1483443"/>
        <w:docPartObj>
          <w:docPartGallery w:val="Page Numbers (Bottom of Page)"/>
          <w:docPartUnique/>
        </w:docPartObj>
      </w:sdtPr>
      <w:sdtEndPr>
        <w:rPr>
          <w:color w:val="7F7F7F" w:themeColor="background1" w:themeShade="7F"/>
          <w:spacing w:val="60"/>
        </w:rPr>
      </w:sdtEndPr>
      <w:sdtContent>
        <w:r w:rsidR="005158CF">
          <w:fldChar w:fldCharType="begin"/>
        </w:r>
        <w:r w:rsidR="005158CF">
          <w:instrText xml:space="preserve"> PAGE   \* MERGEFORMAT </w:instrText>
        </w:r>
        <w:r w:rsidR="005158CF">
          <w:fldChar w:fldCharType="separate"/>
        </w:r>
        <w:r w:rsidR="00D117F2" w:rsidRPr="00D117F2">
          <w:rPr>
            <w:b/>
            <w:noProof/>
          </w:rPr>
          <w:t>14</w:t>
        </w:r>
        <w:r w:rsidR="005158CF">
          <w:rPr>
            <w:b/>
            <w:noProof/>
          </w:rPr>
          <w:fldChar w:fldCharType="end"/>
        </w:r>
        <w:r w:rsidR="005158CF">
          <w:rPr>
            <w:b/>
          </w:rPr>
          <w:t xml:space="preserve"> | </w:t>
        </w:r>
        <w:r w:rsidR="005158CF">
          <w:rPr>
            <w:color w:val="7F7F7F" w:themeColor="background1" w:themeShade="7F"/>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45480" w14:textId="77777777" w:rsidR="005B1043" w:rsidRDefault="005B1043" w:rsidP="00E651AC">
      <w:pPr>
        <w:spacing w:after="0" w:line="240" w:lineRule="auto"/>
      </w:pPr>
      <w:r>
        <w:separator/>
      </w:r>
    </w:p>
  </w:footnote>
  <w:footnote w:type="continuationSeparator" w:id="0">
    <w:p w14:paraId="455A2A3B" w14:textId="77777777" w:rsidR="005B1043" w:rsidRDefault="005B1043" w:rsidP="00E6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2D46"/>
    <w:multiLevelType w:val="hybridMultilevel"/>
    <w:tmpl w:val="435810FC"/>
    <w:lvl w:ilvl="0" w:tplc="665440B0">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4F0B"/>
    <w:multiLevelType w:val="hybridMultilevel"/>
    <w:tmpl w:val="C882BFF2"/>
    <w:lvl w:ilvl="0" w:tplc="998E54F0">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F6A5B"/>
    <w:multiLevelType w:val="hybridMultilevel"/>
    <w:tmpl w:val="DC9272C4"/>
    <w:lvl w:ilvl="0" w:tplc="C2A01EC6">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B45B5"/>
    <w:multiLevelType w:val="hybridMultilevel"/>
    <w:tmpl w:val="C338C32C"/>
    <w:lvl w:ilvl="0" w:tplc="F35CCBEE">
      <w:start w:val="1"/>
      <w:numFmt w:val="upperRoman"/>
      <w:lvlText w:val="%1."/>
      <w:lvlJc w:val="righ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B166E"/>
    <w:multiLevelType w:val="hybridMultilevel"/>
    <w:tmpl w:val="2DC07930"/>
    <w:lvl w:ilvl="0" w:tplc="5696527E">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4103F"/>
    <w:multiLevelType w:val="hybridMultilevel"/>
    <w:tmpl w:val="FB9676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855093"/>
    <w:multiLevelType w:val="hybridMultilevel"/>
    <w:tmpl w:val="B09836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E558E"/>
    <w:multiLevelType w:val="hybridMultilevel"/>
    <w:tmpl w:val="DCF063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054879"/>
    <w:multiLevelType w:val="hybridMultilevel"/>
    <w:tmpl w:val="1F427B88"/>
    <w:lvl w:ilvl="0" w:tplc="5D4A7224">
      <w:start w:val="5"/>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D68D0"/>
    <w:multiLevelType w:val="hybridMultilevel"/>
    <w:tmpl w:val="E736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820BE"/>
    <w:multiLevelType w:val="hybridMultilevel"/>
    <w:tmpl w:val="3872F41E"/>
    <w:lvl w:ilvl="0" w:tplc="FB00DB4A">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24074"/>
    <w:multiLevelType w:val="hybridMultilevel"/>
    <w:tmpl w:val="E3C809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7461A"/>
    <w:multiLevelType w:val="hybridMultilevel"/>
    <w:tmpl w:val="240686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86A8F"/>
    <w:multiLevelType w:val="hybridMultilevel"/>
    <w:tmpl w:val="DD408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62D04"/>
    <w:multiLevelType w:val="hybridMultilevel"/>
    <w:tmpl w:val="56C8B1B4"/>
    <w:lvl w:ilvl="0" w:tplc="998E54F0">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FE0CA7"/>
    <w:multiLevelType w:val="hybridMultilevel"/>
    <w:tmpl w:val="2E26B2CC"/>
    <w:lvl w:ilvl="0" w:tplc="1204906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D3AF4"/>
    <w:multiLevelType w:val="hybridMultilevel"/>
    <w:tmpl w:val="7CAEB19A"/>
    <w:lvl w:ilvl="0" w:tplc="B4A239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A58B9"/>
    <w:multiLevelType w:val="hybridMultilevel"/>
    <w:tmpl w:val="FC6EC3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47556"/>
    <w:multiLevelType w:val="hybridMultilevel"/>
    <w:tmpl w:val="77124AFC"/>
    <w:lvl w:ilvl="0" w:tplc="7A882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E55A0"/>
    <w:multiLevelType w:val="hybridMultilevel"/>
    <w:tmpl w:val="2626D2A0"/>
    <w:lvl w:ilvl="0" w:tplc="998E54F0">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B644B6"/>
    <w:multiLevelType w:val="hybridMultilevel"/>
    <w:tmpl w:val="B1D03092"/>
    <w:lvl w:ilvl="0" w:tplc="0CB2429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D331CF"/>
    <w:multiLevelType w:val="hybridMultilevel"/>
    <w:tmpl w:val="39A4B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1"/>
  </w:num>
  <w:num w:numId="4">
    <w:abstractNumId w:val="21"/>
  </w:num>
  <w:num w:numId="5">
    <w:abstractNumId w:val="7"/>
  </w:num>
  <w:num w:numId="6">
    <w:abstractNumId w:val="4"/>
  </w:num>
  <w:num w:numId="7">
    <w:abstractNumId w:val="3"/>
  </w:num>
  <w:num w:numId="8">
    <w:abstractNumId w:val="5"/>
  </w:num>
  <w:num w:numId="9">
    <w:abstractNumId w:val="10"/>
  </w:num>
  <w:num w:numId="10">
    <w:abstractNumId w:val="2"/>
  </w:num>
  <w:num w:numId="11">
    <w:abstractNumId w:val="14"/>
  </w:num>
  <w:num w:numId="12">
    <w:abstractNumId w:val="8"/>
  </w:num>
  <w:num w:numId="13">
    <w:abstractNumId w:val="12"/>
  </w:num>
  <w:num w:numId="14">
    <w:abstractNumId w:val="19"/>
  </w:num>
  <w:num w:numId="15">
    <w:abstractNumId w:val="15"/>
  </w:num>
  <w:num w:numId="16">
    <w:abstractNumId w:val="18"/>
  </w:num>
  <w:num w:numId="17">
    <w:abstractNumId w:val="6"/>
  </w:num>
  <w:num w:numId="18">
    <w:abstractNumId w:val="16"/>
  </w:num>
  <w:num w:numId="19">
    <w:abstractNumId w:val="13"/>
  </w:num>
  <w:num w:numId="20">
    <w:abstractNumId w:val="9"/>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AC"/>
    <w:rsid w:val="00027C83"/>
    <w:rsid w:val="000332E1"/>
    <w:rsid w:val="00033A1C"/>
    <w:rsid w:val="00067285"/>
    <w:rsid w:val="000A060A"/>
    <w:rsid w:val="000A618D"/>
    <w:rsid w:val="000D49A1"/>
    <w:rsid w:val="00103757"/>
    <w:rsid w:val="00115492"/>
    <w:rsid w:val="00117D79"/>
    <w:rsid w:val="001A6C3E"/>
    <w:rsid w:val="001C17FD"/>
    <w:rsid w:val="001C388B"/>
    <w:rsid w:val="001C4FA2"/>
    <w:rsid w:val="001D5CFF"/>
    <w:rsid w:val="001F3E26"/>
    <w:rsid w:val="00217DCF"/>
    <w:rsid w:val="00230518"/>
    <w:rsid w:val="0027261A"/>
    <w:rsid w:val="00283229"/>
    <w:rsid w:val="0028598D"/>
    <w:rsid w:val="0028736A"/>
    <w:rsid w:val="00291F9D"/>
    <w:rsid w:val="002A52D9"/>
    <w:rsid w:val="002B40CB"/>
    <w:rsid w:val="00307127"/>
    <w:rsid w:val="0034496A"/>
    <w:rsid w:val="003C7757"/>
    <w:rsid w:val="003D2167"/>
    <w:rsid w:val="004040CB"/>
    <w:rsid w:val="004223FD"/>
    <w:rsid w:val="004312C6"/>
    <w:rsid w:val="00441E63"/>
    <w:rsid w:val="004D6180"/>
    <w:rsid w:val="004F006A"/>
    <w:rsid w:val="005158CF"/>
    <w:rsid w:val="0052479D"/>
    <w:rsid w:val="00571478"/>
    <w:rsid w:val="005B1043"/>
    <w:rsid w:val="006168E0"/>
    <w:rsid w:val="00650483"/>
    <w:rsid w:val="0069291B"/>
    <w:rsid w:val="00696921"/>
    <w:rsid w:val="006B7884"/>
    <w:rsid w:val="006C5F10"/>
    <w:rsid w:val="006E4175"/>
    <w:rsid w:val="006F3B2F"/>
    <w:rsid w:val="00720BAD"/>
    <w:rsid w:val="00731A0D"/>
    <w:rsid w:val="0078118E"/>
    <w:rsid w:val="007A268C"/>
    <w:rsid w:val="007A3692"/>
    <w:rsid w:val="007B4A0D"/>
    <w:rsid w:val="007C08D1"/>
    <w:rsid w:val="007D1203"/>
    <w:rsid w:val="007F52CA"/>
    <w:rsid w:val="00801A1E"/>
    <w:rsid w:val="00866A1A"/>
    <w:rsid w:val="00873BC3"/>
    <w:rsid w:val="008814DA"/>
    <w:rsid w:val="00897D61"/>
    <w:rsid w:val="00913C86"/>
    <w:rsid w:val="00925ABB"/>
    <w:rsid w:val="00A016CB"/>
    <w:rsid w:val="00A30536"/>
    <w:rsid w:val="00A34534"/>
    <w:rsid w:val="00A57307"/>
    <w:rsid w:val="00A60A60"/>
    <w:rsid w:val="00A6619B"/>
    <w:rsid w:val="00A83364"/>
    <w:rsid w:val="00A85E5F"/>
    <w:rsid w:val="00A97075"/>
    <w:rsid w:val="00AB31C7"/>
    <w:rsid w:val="00AB6C83"/>
    <w:rsid w:val="00AC648C"/>
    <w:rsid w:val="00AD306F"/>
    <w:rsid w:val="00AE1DF4"/>
    <w:rsid w:val="00B078B0"/>
    <w:rsid w:val="00B11307"/>
    <w:rsid w:val="00B33B2F"/>
    <w:rsid w:val="00B65455"/>
    <w:rsid w:val="00B760C3"/>
    <w:rsid w:val="00B900A9"/>
    <w:rsid w:val="00B969F8"/>
    <w:rsid w:val="00BB039B"/>
    <w:rsid w:val="00BD3C9F"/>
    <w:rsid w:val="00BE57C4"/>
    <w:rsid w:val="00BE6415"/>
    <w:rsid w:val="00BF28D0"/>
    <w:rsid w:val="00BF6ED8"/>
    <w:rsid w:val="00C47FA2"/>
    <w:rsid w:val="00C502B9"/>
    <w:rsid w:val="00CC57E0"/>
    <w:rsid w:val="00CC5B55"/>
    <w:rsid w:val="00D117F2"/>
    <w:rsid w:val="00D37D77"/>
    <w:rsid w:val="00D62793"/>
    <w:rsid w:val="00D63D45"/>
    <w:rsid w:val="00D9613B"/>
    <w:rsid w:val="00DA176F"/>
    <w:rsid w:val="00DB1CB0"/>
    <w:rsid w:val="00DC0131"/>
    <w:rsid w:val="00E26CB1"/>
    <w:rsid w:val="00E651AC"/>
    <w:rsid w:val="00E82478"/>
    <w:rsid w:val="00E95253"/>
    <w:rsid w:val="00EA5534"/>
    <w:rsid w:val="00EB64A1"/>
    <w:rsid w:val="00EC7D13"/>
    <w:rsid w:val="00F02D93"/>
    <w:rsid w:val="00F03E04"/>
    <w:rsid w:val="00F03EAE"/>
    <w:rsid w:val="00F138A1"/>
    <w:rsid w:val="00F1399A"/>
    <w:rsid w:val="00F25C8B"/>
    <w:rsid w:val="00F8536D"/>
    <w:rsid w:val="00FA1529"/>
    <w:rsid w:val="00FB6F54"/>
    <w:rsid w:val="00FC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E8CDA"/>
  <w15:docId w15:val="{21EA053F-61C8-4BD3-9EB0-98429196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06A"/>
  </w:style>
  <w:style w:type="paragraph" w:styleId="Heading1">
    <w:name w:val="heading 1"/>
    <w:basedOn w:val="Normal"/>
    <w:next w:val="Normal"/>
    <w:link w:val="Heading1Char"/>
    <w:uiPriority w:val="9"/>
    <w:qFormat/>
    <w:rsid w:val="00E651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51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0B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20BA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20BA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20BA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1A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65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1AC"/>
  </w:style>
  <w:style w:type="paragraph" w:styleId="Footer">
    <w:name w:val="footer"/>
    <w:basedOn w:val="Normal"/>
    <w:link w:val="FooterChar"/>
    <w:uiPriority w:val="99"/>
    <w:unhideWhenUsed/>
    <w:rsid w:val="00E65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1AC"/>
  </w:style>
  <w:style w:type="character" w:customStyle="1" w:styleId="Heading2Char">
    <w:name w:val="Heading 2 Char"/>
    <w:basedOn w:val="DefaultParagraphFont"/>
    <w:link w:val="Heading2"/>
    <w:uiPriority w:val="9"/>
    <w:rsid w:val="00E651A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651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51A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651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3E26"/>
    <w:pPr>
      <w:ind w:left="720"/>
      <w:contextualSpacing/>
    </w:pPr>
  </w:style>
  <w:style w:type="paragraph" w:styleId="TOCHeading">
    <w:name w:val="TOC Heading"/>
    <w:basedOn w:val="Heading1"/>
    <w:next w:val="Normal"/>
    <w:uiPriority w:val="39"/>
    <w:unhideWhenUsed/>
    <w:qFormat/>
    <w:rsid w:val="006B7884"/>
    <w:pPr>
      <w:outlineLvl w:val="9"/>
    </w:pPr>
  </w:style>
  <w:style w:type="paragraph" w:styleId="TOC2">
    <w:name w:val="toc 2"/>
    <w:basedOn w:val="Normal"/>
    <w:next w:val="Normal"/>
    <w:autoRedefine/>
    <w:uiPriority w:val="39"/>
    <w:unhideWhenUsed/>
    <w:rsid w:val="006B7884"/>
    <w:pPr>
      <w:spacing w:before="240" w:after="0"/>
    </w:pPr>
    <w:rPr>
      <w:b/>
      <w:bCs/>
      <w:sz w:val="20"/>
      <w:szCs w:val="20"/>
    </w:rPr>
  </w:style>
  <w:style w:type="character" w:styleId="Hyperlink">
    <w:name w:val="Hyperlink"/>
    <w:basedOn w:val="DefaultParagraphFont"/>
    <w:uiPriority w:val="99"/>
    <w:unhideWhenUsed/>
    <w:rsid w:val="006B7884"/>
    <w:rPr>
      <w:color w:val="0000FF" w:themeColor="hyperlink"/>
      <w:u w:val="single"/>
    </w:rPr>
  </w:style>
  <w:style w:type="paragraph" w:styleId="BalloonText">
    <w:name w:val="Balloon Text"/>
    <w:basedOn w:val="Normal"/>
    <w:link w:val="BalloonTextChar"/>
    <w:uiPriority w:val="99"/>
    <w:semiHidden/>
    <w:unhideWhenUsed/>
    <w:rsid w:val="006B7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884"/>
    <w:rPr>
      <w:rFonts w:ascii="Tahoma" w:hAnsi="Tahoma" w:cs="Tahoma"/>
      <w:sz w:val="16"/>
      <w:szCs w:val="16"/>
    </w:rPr>
  </w:style>
  <w:style w:type="paragraph" w:styleId="TOC1">
    <w:name w:val="toc 1"/>
    <w:basedOn w:val="Normal"/>
    <w:next w:val="Normal"/>
    <w:autoRedefine/>
    <w:uiPriority w:val="39"/>
    <w:unhideWhenUsed/>
    <w:rsid w:val="007B4A0D"/>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3C7757"/>
    <w:pPr>
      <w:spacing w:after="0"/>
      <w:ind w:left="220"/>
    </w:pPr>
    <w:rPr>
      <w:sz w:val="20"/>
      <w:szCs w:val="20"/>
    </w:rPr>
  </w:style>
  <w:style w:type="paragraph" w:styleId="TOC4">
    <w:name w:val="toc 4"/>
    <w:basedOn w:val="Normal"/>
    <w:next w:val="Normal"/>
    <w:autoRedefine/>
    <w:uiPriority w:val="39"/>
    <w:unhideWhenUsed/>
    <w:rsid w:val="003C7757"/>
    <w:pPr>
      <w:spacing w:after="0"/>
      <w:ind w:left="440"/>
    </w:pPr>
    <w:rPr>
      <w:sz w:val="20"/>
      <w:szCs w:val="20"/>
    </w:rPr>
  </w:style>
  <w:style w:type="paragraph" w:styleId="TOC5">
    <w:name w:val="toc 5"/>
    <w:basedOn w:val="Normal"/>
    <w:next w:val="Normal"/>
    <w:autoRedefine/>
    <w:uiPriority w:val="39"/>
    <w:unhideWhenUsed/>
    <w:rsid w:val="003C7757"/>
    <w:pPr>
      <w:spacing w:after="0"/>
      <w:ind w:left="660"/>
    </w:pPr>
    <w:rPr>
      <w:sz w:val="20"/>
      <w:szCs w:val="20"/>
    </w:rPr>
  </w:style>
  <w:style w:type="paragraph" w:styleId="TOC6">
    <w:name w:val="toc 6"/>
    <w:basedOn w:val="Normal"/>
    <w:next w:val="Normal"/>
    <w:autoRedefine/>
    <w:uiPriority w:val="39"/>
    <w:unhideWhenUsed/>
    <w:rsid w:val="003C7757"/>
    <w:pPr>
      <w:spacing w:after="0"/>
      <w:ind w:left="880"/>
    </w:pPr>
    <w:rPr>
      <w:sz w:val="20"/>
      <w:szCs w:val="20"/>
    </w:rPr>
  </w:style>
  <w:style w:type="paragraph" w:styleId="TOC7">
    <w:name w:val="toc 7"/>
    <w:basedOn w:val="Normal"/>
    <w:next w:val="Normal"/>
    <w:autoRedefine/>
    <w:uiPriority w:val="39"/>
    <w:unhideWhenUsed/>
    <w:rsid w:val="003C7757"/>
    <w:pPr>
      <w:spacing w:after="0"/>
      <w:ind w:left="1100"/>
    </w:pPr>
    <w:rPr>
      <w:sz w:val="20"/>
      <w:szCs w:val="20"/>
    </w:rPr>
  </w:style>
  <w:style w:type="paragraph" w:styleId="TOC8">
    <w:name w:val="toc 8"/>
    <w:basedOn w:val="Normal"/>
    <w:next w:val="Normal"/>
    <w:autoRedefine/>
    <w:uiPriority w:val="39"/>
    <w:unhideWhenUsed/>
    <w:rsid w:val="003C7757"/>
    <w:pPr>
      <w:spacing w:after="0"/>
      <w:ind w:left="1320"/>
    </w:pPr>
    <w:rPr>
      <w:sz w:val="20"/>
      <w:szCs w:val="20"/>
    </w:rPr>
  </w:style>
  <w:style w:type="paragraph" w:styleId="TOC9">
    <w:name w:val="toc 9"/>
    <w:basedOn w:val="Normal"/>
    <w:next w:val="Normal"/>
    <w:autoRedefine/>
    <w:uiPriority w:val="39"/>
    <w:unhideWhenUsed/>
    <w:rsid w:val="003C7757"/>
    <w:pPr>
      <w:spacing w:after="0"/>
      <w:ind w:left="1540"/>
    </w:pPr>
    <w:rPr>
      <w:sz w:val="20"/>
      <w:szCs w:val="20"/>
    </w:rPr>
  </w:style>
  <w:style w:type="character" w:styleId="PlaceholderText">
    <w:name w:val="Placeholder Text"/>
    <w:basedOn w:val="DefaultParagraphFont"/>
    <w:uiPriority w:val="99"/>
    <w:semiHidden/>
    <w:rsid w:val="006C5F10"/>
    <w:rPr>
      <w:color w:val="808080"/>
    </w:rPr>
  </w:style>
  <w:style w:type="paragraph" w:styleId="Revision">
    <w:name w:val="Revision"/>
    <w:hidden/>
    <w:uiPriority w:val="99"/>
    <w:semiHidden/>
    <w:rsid w:val="00B760C3"/>
    <w:pPr>
      <w:spacing w:after="0" w:line="240" w:lineRule="auto"/>
    </w:pPr>
  </w:style>
  <w:style w:type="character" w:styleId="CommentReference">
    <w:name w:val="annotation reference"/>
    <w:basedOn w:val="DefaultParagraphFont"/>
    <w:uiPriority w:val="99"/>
    <w:semiHidden/>
    <w:unhideWhenUsed/>
    <w:rsid w:val="00696921"/>
    <w:rPr>
      <w:sz w:val="16"/>
      <w:szCs w:val="16"/>
    </w:rPr>
  </w:style>
  <w:style w:type="paragraph" w:styleId="CommentText">
    <w:name w:val="annotation text"/>
    <w:basedOn w:val="Normal"/>
    <w:link w:val="CommentTextChar"/>
    <w:uiPriority w:val="99"/>
    <w:semiHidden/>
    <w:unhideWhenUsed/>
    <w:rsid w:val="00696921"/>
    <w:pPr>
      <w:spacing w:line="240" w:lineRule="auto"/>
    </w:pPr>
    <w:rPr>
      <w:sz w:val="20"/>
      <w:szCs w:val="20"/>
    </w:rPr>
  </w:style>
  <w:style w:type="character" w:customStyle="1" w:styleId="CommentTextChar">
    <w:name w:val="Comment Text Char"/>
    <w:basedOn w:val="DefaultParagraphFont"/>
    <w:link w:val="CommentText"/>
    <w:uiPriority w:val="99"/>
    <w:semiHidden/>
    <w:rsid w:val="00696921"/>
    <w:rPr>
      <w:sz w:val="20"/>
      <w:szCs w:val="20"/>
    </w:rPr>
  </w:style>
  <w:style w:type="paragraph" w:styleId="CommentSubject">
    <w:name w:val="annotation subject"/>
    <w:basedOn w:val="CommentText"/>
    <w:next w:val="CommentText"/>
    <w:link w:val="CommentSubjectChar"/>
    <w:uiPriority w:val="99"/>
    <w:semiHidden/>
    <w:unhideWhenUsed/>
    <w:rsid w:val="00696921"/>
    <w:rPr>
      <w:b/>
      <w:bCs/>
    </w:rPr>
  </w:style>
  <w:style w:type="character" w:customStyle="1" w:styleId="CommentSubjectChar">
    <w:name w:val="Comment Subject Char"/>
    <w:basedOn w:val="CommentTextChar"/>
    <w:link w:val="CommentSubject"/>
    <w:uiPriority w:val="99"/>
    <w:semiHidden/>
    <w:rsid w:val="00696921"/>
    <w:rPr>
      <w:b/>
      <w:bCs/>
      <w:sz w:val="20"/>
      <w:szCs w:val="20"/>
    </w:rPr>
  </w:style>
  <w:style w:type="character" w:customStyle="1" w:styleId="Heading3Char">
    <w:name w:val="Heading 3 Char"/>
    <w:basedOn w:val="DefaultParagraphFont"/>
    <w:link w:val="Heading3"/>
    <w:uiPriority w:val="9"/>
    <w:rsid w:val="00720BA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20BA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720BA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720BAD"/>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287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coswrapper">
    <w:name w:val="hs_cos_wrapper"/>
    <w:basedOn w:val="DefaultParagraphFont"/>
    <w:rsid w:val="00A34534"/>
  </w:style>
  <w:style w:type="character" w:styleId="UnresolvedMention">
    <w:name w:val="Unresolved Mention"/>
    <w:basedOn w:val="DefaultParagraphFont"/>
    <w:uiPriority w:val="99"/>
    <w:semiHidden/>
    <w:unhideWhenUsed/>
    <w:rsid w:val="00FC4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4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lawyers.com/commission-payments-california-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BFEF-79FD-47EC-8F14-E1C2B2D2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4308</Words>
  <Characters>24558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Version 1.0.0</vt:lpstr>
    </vt:vector>
  </TitlesOfParts>
  <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1.0.0</dc:title>
  <dc:subject>FY20xx Compensation Terms and Conditions</dc:subject>
  <dc:creator>Mark Hudson</dc:creator>
  <cp:keywords/>
  <dc:description/>
  <cp:lastModifiedBy>Mark Hudson</cp:lastModifiedBy>
  <cp:revision>3</cp:revision>
  <cp:lastPrinted>2010-02-18T20:49:00Z</cp:lastPrinted>
  <dcterms:created xsi:type="dcterms:W3CDTF">2020-10-29T17:23:00Z</dcterms:created>
  <dcterms:modified xsi:type="dcterms:W3CDTF">2020-11-06T18:05:00Z</dcterms:modified>
</cp:coreProperties>
</file>